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57" w:rsidRDefault="002C65B6" w:rsidP="002C65B6">
      <w:pPr>
        <w:jc w:val="right"/>
      </w:pPr>
      <w:r>
        <w:rPr>
          <w:noProof/>
        </w:rPr>
        <w:drawing>
          <wp:inline distT="0" distB="0" distL="0" distR="0">
            <wp:extent cx="1828800" cy="895350"/>
            <wp:effectExtent l="0" t="0" r="0" b="0"/>
            <wp:docPr id="1" name="Picture 1" descr="http://www.alcorn.edu/uploadedImages/Strategic_Planning/New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orn.edu/uploadedImages/Strategic_Planning/NewLogoSM.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p>
    <w:p w:rsidR="00D805F1" w:rsidRPr="00D805F1" w:rsidRDefault="002C65B6" w:rsidP="00D805F1">
      <w:pPr>
        <w:spacing w:after="0"/>
        <w:rPr>
          <w:rFonts w:ascii="Times New Roman" w:hAnsi="Times New Roman" w:cs="Times New Roman"/>
          <w:sz w:val="24"/>
          <w:szCs w:val="24"/>
          <w:u w:val="single"/>
        </w:rPr>
      </w:pPr>
      <w:r w:rsidRPr="00D805F1">
        <w:rPr>
          <w:rFonts w:ascii="Times New Roman" w:hAnsi="Times New Roman" w:cs="Times New Roman"/>
          <w:sz w:val="24"/>
          <w:szCs w:val="24"/>
          <w:u w:val="single"/>
        </w:rPr>
        <w:t>Policy Directory</w:t>
      </w:r>
    </w:p>
    <w:p w:rsidR="00D805F1" w:rsidRDefault="00D805F1" w:rsidP="00D805F1">
      <w:pPr>
        <w:spacing w:after="0"/>
        <w:rPr>
          <w:rFonts w:ascii="Times New Roman" w:hAnsi="Times New Roman" w:cs="Times New Roman"/>
        </w:rPr>
      </w:pPr>
    </w:p>
    <w:p w:rsidR="002C65B6" w:rsidRPr="00D805F1" w:rsidRDefault="002C65B6" w:rsidP="00D805F1">
      <w:pPr>
        <w:spacing w:after="0"/>
        <w:rPr>
          <w:rFonts w:ascii="Times New Roman" w:hAnsi="Times New Roman" w:cs="Times New Roman"/>
          <w:b/>
          <w:sz w:val="24"/>
          <w:szCs w:val="24"/>
        </w:rPr>
      </w:pPr>
      <w:r w:rsidRPr="000F5FDD">
        <w:rPr>
          <w:rFonts w:ascii="Times New Roman" w:hAnsi="Times New Roman" w:cs="Times New Roman"/>
        </w:rPr>
        <w:t>Responsible Division:</w:t>
      </w:r>
      <w:r w:rsidR="00C46976">
        <w:rPr>
          <w:rFonts w:ascii="Times New Roman" w:hAnsi="Times New Roman" w:cs="Times New Roman"/>
        </w:rPr>
        <w:tab/>
      </w:r>
      <w:r w:rsidR="00C344B5">
        <w:rPr>
          <w:rFonts w:ascii="Times New Roman" w:hAnsi="Times New Roman" w:cs="Times New Roman"/>
        </w:rPr>
        <w:t>Finance and Administrative Services</w:t>
      </w:r>
    </w:p>
    <w:p w:rsidR="002C65B6" w:rsidRPr="000F5FDD" w:rsidRDefault="002C65B6" w:rsidP="00D805F1">
      <w:pPr>
        <w:spacing w:after="0"/>
        <w:rPr>
          <w:rFonts w:ascii="Times New Roman" w:hAnsi="Times New Roman" w:cs="Times New Roman"/>
          <w:sz w:val="24"/>
          <w:szCs w:val="24"/>
        </w:rPr>
      </w:pPr>
      <w:r w:rsidRPr="000F5FDD">
        <w:rPr>
          <w:rFonts w:ascii="Times New Roman" w:hAnsi="Times New Roman" w:cs="Times New Roman"/>
        </w:rPr>
        <w:t>Responsible Office:</w:t>
      </w:r>
      <w:r w:rsidR="00C46976">
        <w:rPr>
          <w:rFonts w:ascii="Times New Roman" w:hAnsi="Times New Roman" w:cs="Times New Roman"/>
        </w:rPr>
        <w:tab/>
      </w:r>
      <w:r w:rsidR="00C344B5">
        <w:rPr>
          <w:rFonts w:ascii="Times New Roman" w:hAnsi="Times New Roman" w:cs="Times New Roman"/>
        </w:rPr>
        <w:t>CITS</w:t>
      </w:r>
    </w:p>
    <w:p w:rsidR="002C65B6" w:rsidRPr="000F5FDD" w:rsidRDefault="002C65B6" w:rsidP="00D805F1">
      <w:pPr>
        <w:spacing w:after="0"/>
        <w:rPr>
          <w:rFonts w:ascii="Times New Roman" w:hAnsi="Times New Roman" w:cs="Times New Roman"/>
          <w:sz w:val="24"/>
          <w:szCs w:val="24"/>
        </w:rPr>
      </w:pPr>
      <w:r w:rsidRPr="000F5FDD">
        <w:rPr>
          <w:rFonts w:ascii="Times New Roman" w:hAnsi="Times New Roman" w:cs="Times New Roman"/>
        </w:rPr>
        <w:t>Issue/Revision Date:</w:t>
      </w:r>
      <w:r w:rsidR="00C46976">
        <w:rPr>
          <w:rFonts w:ascii="Times New Roman" w:hAnsi="Times New Roman" w:cs="Times New Roman"/>
        </w:rPr>
        <w:tab/>
      </w:r>
      <w:r w:rsidR="00C344B5">
        <w:rPr>
          <w:rFonts w:ascii="Times New Roman" w:hAnsi="Times New Roman" w:cs="Times New Roman"/>
        </w:rPr>
        <w:t>02/20/2019</w:t>
      </w:r>
    </w:p>
    <w:p w:rsidR="002C65B6" w:rsidRPr="000F5FDD" w:rsidRDefault="002C65B6" w:rsidP="002C65B6">
      <w:pPr>
        <w:jc w:val="center"/>
        <w:rPr>
          <w:rFonts w:ascii="Times New Roman" w:hAnsi="Times New Roman" w:cs="Times New Roman"/>
          <w:sz w:val="28"/>
          <w:szCs w:val="28"/>
        </w:rPr>
      </w:pPr>
    </w:p>
    <w:p w:rsidR="0079707D" w:rsidRPr="00D3147A" w:rsidRDefault="0079707D" w:rsidP="002C65B6">
      <w:pPr>
        <w:pBdr>
          <w:bottom w:val="thinThickThinMediumGap" w:sz="18" w:space="1" w:color="auto"/>
        </w:pBdr>
        <w:rPr>
          <w:rFonts w:ascii="Times New Roman" w:hAnsi="Times New Roman" w:cs="Times New Roman"/>
          <w:b/>
          <w:sz w:val="28"/>
          <w:szCs w:val="28"/>
        </w:rPr>
      </w:pPr>
      <w:r>
        <w:rPr>
          <w:rFonts w:ascii="Times New Roman" w:hAnsi="Times New Roman" w:cs="Times New Roman"/>
          <w:b/>
          <w:sz w:val="28"/>
          <w:szCs w:val="28"/>
        </w:rPr>
        <w:t>Retention and Disposition Policy</w:t>
      </w:r>
    </w:p>
    <w:p w:rsidR="002C65B6" w:rsidRPr="000F5FDD" w:rsidRDefault="002C65B6" w:rsidP="002C65B6">
      <w:pPr>
        <w:spacing w:after="0"/>
        <w:rPr>
          <w:rFonts w:ascii="Times New Roman" w:hAnsi="Times New Roman" w:cs="Times New Roman"/>
        </w:rPr>
      </w:pPr>
      <w:r w:rsidRPr="000F5FDD">
        <w:rPr>
          <w:rFonts w:ascii="Times New Roman" w:hAnsi="Times New Roman" w:cs="Times New Roman"/>
        </w:rPr>
        <w:t>Policy:</w:t>
      </w:r>
    </w:p>
    <w:p w:rsidR="00C46976" w:rsidRDefault="00C46976" w:rsidP="00C46976">
      <w:pPr>
        <w:kinsoku w:val="0"/>
        <w:overflowPunct w:val="0"/>
        <w:spacing w:before="8" w:line="240" w:lineRule="exact"/>
      </w:pPr>
    </w:p>
    <w:p w:rsidR="00C344B5" w:rsidRPr="00C344B5" w:rsidRDefault="00C344B5" w:rsidP="00C344B5">
      <w:pPr>
        <w:kinsoku w:val="0"/>
        <w:overflowPunct w:val="0"/>
        <w:spacing w:before="8" w:line="240" w:lineRule="exact"/>
        <w:rPr>
          <w:rFonts w:ascii="Times New Roman" w:hAnsi="Times New Roman" w:cs="Times New Roman"/>
          <w:b/>
          <w:sz w:val="24"/>
          <w:szCs w:val="24"/>
        </w:rPr>
      </w:pPr>
      <w:r w:rsidRPr="00C344B5">
        <w:rPr>
          <w:rFonts w:ascii="Times New Roman" w:hAnsi="Times New Roman" w:cs="Times New Roman"/>
          <w:b/>
          <w:sz w:val="24"/>
          <w:szCs w:val="24"/>
        </w:rPr>
        <w:t>Purpose</w:t>
      </w:r>
    </w:p>
    <w:p w:rsidR="00C344B5" w:rsidRPr="00C344B5" w:rsidRDefault="00C344B5" w:rsidP="00C344B5">
      <w:pPr>
        <w:kinsoku w:val="0"/>
        <w:overflowPunct w:val="0"/>
        <w:spacing w:before="8" w:line="240" w:lineRule="exact"/>
        <w:rPr>
          <w:rFonts w:ascii="Times New Roman" w:hAnsi="Times New Roman" w:cs="Times New Roman"/>
          <w:sz w:val="24"/>
          <w:szCs w:val="24"/>
        </w:rPr>
      </w:pPr>
      <w:r w:rsidRPr="00C344B5">
        <w:rPr>
          <w:rFonts w:ascii="Times New Roman" w:hAnsi="Times New Roman" w:cs="Times New Roman"/>
          <w:sz w:val="24"/>
          <w:szCs w:val="24"/>
        </w:rPr>
        <w:t>This policy establishes the retention period of data within systems owned by CITS and for which CITS is responsible for the disposition of deleted data.  This includes system access and log files that are a routine record of events on systems.</w:t>
      </w:r>
    </w:p>
    <w:p w:rsidR="00C344B5" w:rsidRPr="00C344B5" w:rsidRDefault="00C344B5" w:rsidP="00C344B5">
      <w:pPr>
        <w:kinsoku w:val="0"/>
        <w:overflowPunct w:val="0"/>
        <w:spacing w:before="8" w:line="240" w:lineRule="exact"/>
        <w:rPr>
          <w:rFonts w:ascii="Times New Roman" w:hAnsi="Times New Roman" w:cs="Times New Roman"/>
          <w:b/>
          <w:sz w:val="24"/>
          <w:szCs w:val="24"/>
        </w:rPr>
      </w:pPr>
      <w:r w:rsidRPr="00C344B5">
        <w:rPr>
          <w:rFonts w:ascii="Times New Roman" w:hAnsi="Times New Roman" w:cs="Times New Roman"/>
          <w:b/>
          <w:sz w:val="24"/>
          <w:szCs w:val="24"/>
        </w:rPr>
        <w:t>Scope</w:t>
      </w:r>
    </w:p>
    <w:p w:rsidR="00C344B5" w:rsidRPr="00C344B5" w:rsidRDefault="00C344B5" w:rsidP="00C344B5">
      <w:pPr>
        <w:kinsoku w:val="0"/>
        <w:overflowPunct w:val="0"/>
        <w:spacing w:before="8" w:line="240" w:lineRule="exact"/>
        <w:rPr>
          <w:rFonts w:ascii="Times New Roman" w:hAnsi="Times New Roman" w:cs="Times New Roman"/>
          <w:sz w:val="24"/>
          <w:szCs w:val="24"/>
        </w:rPr>
      </w:pPr>
      <w:r w:rsidRPr="00C344B5">
        <w:rPr>
          <w:rFonts w:ascii="Times New Roman" w:hAnsi="Times New Roman" w:cs="Times New Roman"/>
          <w:sz w:val="24"/>
          <w:szCs w:val="24"/>
        </w:rPr>
        <w:t>This policy addresses user data that has been deleted by the user from the system as well as system access and log files that provide hardware or operating system event d</w:t>
      </w:r>
      <w:r>
        <w:rPr>
          <w:rFonts w:ascii="Times New Roman" w:hAnsi="Times New Roman" w:cs="Times New Roman"/>
          <w:sz w:val="24"/>
          <w:szCs w:val="24"/>
        </w:rPr>
        <w:t xml:space="preserve">ata used to diagnose problems. </w:t>
      </w:r>
      <w:r w:rsidRPr="00C344B5">
        <w:rPr>
          <w:rFonts w:ascii="Times New Roman" w:hAnsi="Times New Roman" w:cs="Times New Roman"/>
          <w:sz w:val="24"/>
          <w:szCs w:val="24"/>
        </w:rPr>
        <w:t xml:space="preserve">This policy does NOT include retention of data records not owned by CITS such as financial records, Human Resource documents, student records, and health data which are governed by specific legal requirements and under the purview of those departments. </w:t>
      </w:r>
    </w:p>
    <w:p w:rsidR="00C344B5" w:rsidRPr="00C344B5" w:rsidRDefault="00C344B5" w:rsidP="00C344B5">
      <w:pPr>
        <w:kinsoku w:val="0"/>
        <w:overflowPunct w:val="0"/>
        <w:spacing w:before="8" w:line="240" w:lineRule="exact"/>
        <w:rPr>
          <w:rFonts w:ascii="Times New Roman" w:hAnsi="Times New Roman" w:cs="Times New Roman"/>
          <w:b/>
          <w:sz w:val="24"/>
          <w:szCs w:val="24"/>
        </w:rPr>
      </w:pPr>
      <w:r w:rsidRPr="00C344B5">
        <w:rPr>
          <w:rFonts w:ascii="Times New Roman" w:hAnsi="Times New Roman" w:cs="Times New Roman"/>
          <w:b/>
          <w:sz w:val="24"/>
          <w:szCs w:val="24"/>
        </w:rPr>
        <w:t>Roles</w:t>
      </w:r>
    </w:p>
    <w:p w:rsidR="00C344B5" w:rsidRPr="00C344B5" w:rsidRDefault="00C344B5" w:rsidP="00C344B5">
      <w:pPr>
        <w:kinsoku w:val="0"/>
        <w:overflowPunct w:val="0"/>
        <w:spacing w:before="8" w:line="240" w:lineRule="exact"/>
        <w:rPr>
          <w:rFonts w:ascii="Times New Roman" w:hAnsi="Times New Roman" w:cs="Times New Roman"/>
          <w:sz w:val="24"/>
          <w:szCs w:val="24"/>
        </w:rPr>
      </w:pPr>
      <w:r w:rsidRPr="00C344B5">
        <w:rPr>
          <w:rFonts w:ascii="Times New Roman" w:hAnsi="Times New Roman" w:cs="Times New Roman"/>
          <w:sz w:val="24"/>
          <w:szCs w:val="24"/>
        </w:rPr>
        <w:t>The retention of data and determination of useful retention of system logs is determined by system administrators under the direction of the Dir</w:t>
      </w:r>
      <w:r>
        <w:rPr>
          <w:rFonts w:ascii="Times New Roman" w:hAnsi="Times New Roman" w:cs="Times New Roman"/>
          <w:sz w:val="24"/>
          <w:szCs w:val="24"/>
        </w:rPr>
        <w:t xml:space="preserve">ector of Enterprise Architect. </w:t>
      </w:r>
      <w:r w:rsidRPr="00C344B5">
        <w:rPr>
          <w:rFonts w:ascii="Times New Roman" w:hAnsi="Times New Roman" w:cs="Times New Roman"/>
          <w:sz w:val="24"/>
          <w:szCs w:val="24"/>
        </w:rPr>
        <w:t>System administrators and database administrators are responsible for the execution of retention and adherence to the schedule.</w:t>
      </w:r>
    </w:p>
    <w:p w:rsidR="00C344B5" w:rsidRPr="00C344B5" w:rsidRDefault="00C344B5" w:rsidP="00C344B5">
      <w:pPr>
        <w:kinsoku w:val="0"/>
        <w:overflowPunct w:val="0"/>
        <w:spacing w:before="8" w:line="240" w:lineRule="exact"/>
        <w:rPr>
          <w:rFonts w:ascii="Times New Roman" w:hAnsi="Times New Roman" w:cs="Times New Roman"/>
          <w:b/>
          <w:sz w:val="24"/>
          <w:szCs w:val="24"/>
        </w:rPr>
      </w:pPr>
      <w:r w:rsidRPr="00C344B5">
        <w:rPr>
          <w:rFonts w:ascii="Times New Roman" w:hAnsi="Times New Roman" w:cs="Times New Roman"/>
          <w:b/>
          <w:sz w:val="24"/>
          <w:szCs w:val="24"/>
        </w:rPr>
        <w:t>Record Types</w:t>
      </w:r>
    </w:p>
    <w:p w:rsidR="00C344B5" w:rsidRPr="00C344B5" w:rsidRDefault="00C344B5" w:rsidP="00C344B5">
      <w:pPr>
        <w:kinsoku w:val="0"/>
        <w:overflowPunct w:val="0"/>
        <w:spacing w:before="8" w:line="240" w:lineRule="exact"/>
        <w:rPr>
          <w:rFonts w:ascii="Times New Roman" w:hAnsi="Times New Roman" w:cs="Times New Roman"/>
          <w:sz w:val="24"/>
          <w:szCs w:val="24"/>
        </w:rPr>
      </w:pPr>
      <w:r w:rsidRPr="00C344B5">
        <w:rPr>
          <w:rFonts w:ascii="Times New Roman" w:hAnsi="Times New Roman" w:cs="Times New Roman"/>
          <w:sz w:val="24"/>
          <w:szCs w:val="24"/>
        </w:rPr>
        <w:t>This policy addresses electronic data generated by systems in various formats (.txt, .tar, .zip, etc</w:t>
      </w:r>
      <w:r>
        <w:rPr>
          <w:rFonts w:ascii="Times New Roman" w:hAnsi="Times New Roman" w:cs="Times New Roman"/>
          <w:sz w:val="24"/>
          <w:szCs w:val="24"/>
        </w:rPr>
        <w:t>.</w:t>
      </w:r>
      <w:r w:rsidRPr="00C344B5">
        <w:rPr>
          <w:rFonts w:ascii="Times New Roman" w:hAnsi="Times New Roman" w:cs="Times New Roman"/>
          <w:sz w:val="24"/>
          <w:szCs w:val="24"/>
        </w:rPr>
        <w:t>), faculty and staff deleted email in Outlook Exchange and all systems provided for the user for the storage of data. For user-generated data, retention refers to the length of time a document is available for recovery once deleted by the user from the system.</w:t>
      </w:r>
    </w:p>
    <w:p w:rsidR="00C344B5" w:rsidRPr="00C344B5" w:rsidRDefault="00C344B5" w:rsidP="00C344B5">
      <w:pPr>
        <w:kinsoku w:val="0"/>
        <w:overflowPunct w:val="0"/>
        <w:spacing w:before="8" w:line="240" w:lineRule="exact"/>
        <w:rPr>
          <w:rFonts w:ascii="Times New Roman" w:hAnsi="Times New Roman" w:cs="Times New Roman"/>
          <w:b/>
          <w:sz w:val="24"/>
          <w:szCs w:val="24"/>
        </w:rPr>
      </w:pPr>
      <w:r w:rsidRPr="00C344B5">
        <w:rPr>
          <w:rFonts w:ascii="Times New Roman" w:hAnsi="Times New Roman" w:cs="Times New Roman"/>
          <w:b/>
          <w:sz w:val="24"/>
          <w:szCs w:val="24"/>
        </w:rPr>
        <w:t>Litigation Hold</w:t>
      </w:r>
    </w:p>
    <w:p w:rsidR="00C344B5" w:rsidRPr="00C344B5" w:rsidRDefault="00C344B5" w:rsidP="00C344B5">
      <w:pPr>
        <w:kinsoku w:val="0"/>
        <w:overflowPunct w:val="0"/>
        <w:spacing w:before="8" w:line="240" w:lineRule="exact"/>
        <w:rPr>
          <w:rFonts w:ascii="Times New Roman" w:hAnsi="Times New Roman" w:cs="Times New Roman"/>
          <w:sz w:val="24"/>
          <w:szCs w:val="24"/>
        </w:rPr>
      </w:pPr>
      <w:r w:rsidRPr="00C344B5">
        <w:rPr>
          <w:rFonts w:ascii="Times New Roman" w:hAnsi="Times New Roman" w:cs="Times New Roman"/>
          <w:sz w:val="24"/>
          <w:szCs w:val="24"/>
        </w:rPr>
        <w:t>When CITS receives a litigation hold for electronic data, the data and email</w:t>
      </w:r>
      <w:r>
        <w:rPr>
          <w:rFonts w:ascii="Times New Roman" w:hAnsi="Times New Roman" w:cs="Times New Roman"/>
          <w:sz w:val="24"/>
          <w:szCs w:val="24"/>
        </w:rPr>
        <w:t>,</w:t>
      </w:r>
      <w:r w:rsidRPr="00C344B5">
        <w:rPr>
          <w:rFonts w:ascii="Times New Roman" w:hAnsi="Times New Roman" w:cs="Times New Roman"/>
          <w:sz w:val="24"/>
          <w:szCs w:val="24"/>
        </w:rPr>
        <w:t xml:space="preserve"> as well as any associated backups as of the day of the hold</w:t>
      </w:r>
      <w:r>
        <w:rPr>
          <w:rFonts w:ascii="Times New Roman" w:hAnsi="Times New Roman" w:cs="Times New Roman"/>
          <w:sz w:val="24"/>
          <w:szCs w:val="24"/>
        </w:rPr>
        <w:t xml:space="preserve">, are copied and quarantined. </w:t>
      </w:r>
      <w:r w:rsidRPr="00C344B5">
        <w:rPr>
          <w:rFonts w:ascii="Times New Roman" w:hAnsi="Times New Roman" w:cs="Times New Roman"/>
          <w:sz w:val="24"/>
          <w:szCs w:val="24"/>
        </w:rPr>
        <w:t>Any backup retention policies that would delete files older than 30 days are removed so that files are retained.  At the time, the University is required to supply electronic documents, data from the frozen copies and any relevant data from the</w:t>
      </w:r>
      <w:r>
        <w:rPr>
          <w:rFonts w:ascii="Times New Roman" w:hAnsi="Times New Roman" w:cs="Times New Roman"/>
          <w:sz w:val="24"/>
          <w:szCs w:val="24"/>
        </w:rPr>
        <w:t xml:space="preserve"> intervening period</w:t>
      </w:r>
      <w:r w:rsidRPr="00C344B5">
        <w:rPr>
          <w:rFonts w:ascii="Times New Roman" w:hAnsi="Times New Roman" w:cs="Times New Roman"/>
          <w:sz w:val="24"/>
          <w:szCs w:val="24"/>
        </w:rPr>
        <w:t xml:space="preserve">.  Circumstances from each case will dictate the parameters of the data required. </w:t>
      </w:r>
    </w:p>
    <w:p w:rsidR="00C344B5" w:rsidRPr="00C344B5" w:rsidRDefault="00C344B5" w:rsidP="00C344B5">
      <w:pPr>
        <w:kinsoku w:val="0"/>
        <w:overflowPunct w:val="0"/>
        <w:spacing w:before="8" w:line="240" w:lineRule="exact"/>
        <w:rPr>
          <w:rFonts w:ascii="Times New Roman" w:hAnsi="Times New Roman" w:cs="Times New Roman"/>
          <w:b/>
          <w:sz w:val="24"/>
          <w:szCs w:val="24"/>
        </w:rPr>
      </w:pPr>
      <w:r w:rsidRPr="00C344B5">
        <w:rPr>
          <w:rFonts w:ascii="Times New Roman" w:hAnsi="Times New Roman" w:cs="Times New Roman"/>
          <w:b/>
          <w:sz w:val="24"/>
          <w:szCs w:val="24"/>
        </w:rPr>
        <w:lastRenderedPageBreak/>
        <w:t>Data Retention</w:t>
      </w:r>
    </w:p>
    <w:p w:rsidR="00C344B5" w:rsidRPr="00C344B5" w:rsidRDefault="00C344B5" w:rsidP="00C344B5">
      <w:pPr>
        <w:kinsoku w:val="0"/>
        <w:overflowPunct w:val="0"/>
        <w:spacing w:before="8" w:line="240" w:lineRule="exact"/>
        <w:rPr>
          <w:rFonts w:ascii="Times New Roman" w:hAnsi="Times New Roman" w:cs="Times New Roman"/>
          <w:sz w:val="24"/>
          <w:szCs w:val="24"/>
        </w:rPr>
      </w:pPr>
      <w:r w:rsidRPr="00C344B5">
        <w:rPr>
          <w:rFonts w:ascii="Times New Roman" w:hAnsi="Times New Roman" w:cs="Times New Roman"/>
          <w:sz w:val="24"/>
          <w:szCs w:val="24"/>
        </w:rPr>
        <w:t xml:space="preserve">CITS has </w:t>
      </w:r>
      <w:r>
        <w:rPr>
          <w:rFonts w:ascii="Times New Roman" w:hAnsi="Times New Roman" w:cs="Times New Roman"/>
          <w:sz w:val="24"/>
          <w:szCs w:val="24"/>
        </w:rPr>
        <w:t xml:space="preserve">a </w:t>
      </w:r>
      <w:r w:rsidRPr="00C344B5">
        <w:rPr>
          <w:rFonts w:ascii="Times New Roman" w:hAnsi="Times New Roman" w:cs="Times New Roman"/>
          <w:sz w:val="24"/>
          <w:szCs w:val="24"/>
        </w:rPr>
        <w:t>document outlining the retention of system logs, responsible party and location.</w:t>
      </w:r>
    </w:p>
    <w:p w:rsidR="00C344B5" w:rsidRPr="00C344B5" w:rsidRDefault="00C344B5" w:rsidP="00C344B5">
      <w:pPr>
        <w:kinsoku w:val="0"/>
        <w:overflowPunct w:val="0"/>
        <w:spacing w:before="8" w:line="240" w:lineRule="exact"/>
        <w:rPr>
          <w:rFonts w:ascii="Times New Roman" w:hAnsi="Times New Roman" w:cs="Times New Roman"/>
          <w:sz w:val="24"/>
          <w:szCs w:val="24"/>
        </w:rPr>
      </w:pPr>
      <w:r w:rsidRPr="00C344B5">
        <w:rPr>
          <w:rFonts w:ascii="Times New Roman" w:hAnsi="Times New Roman" w:cs="Times New Roman"/>
          <w:sz w:val="24"/>
          <w:szCs w:val="24"/>
        </w:rPr>
        <w:t xml:space="preserve">User data, for the purpose of this document, </w:t>
      </w:r>
      <w:r>
        <w:rPr>
          <w:rFonts w:ascii="Times New Roman" w:hAnsi="Times New Roman" w:cs="Times New Roman"/>
          <w:sz w:val="24"/>
          <w:szCs w:val="24"/>
        </w:rPr>
        <w:t xml:space="preserve">refers to </w:t>
      </w:r>
      <w:r w:rsidRPr="00C344B5">
        <w:rPr>
          <w:rFonts w:ascii="Times New Roman" w:hAnsi="Times New Roman" w:cs="Times New Roman"/>
          <w:sz w:val="24"/>
          <w:szCs w:val="24"/>
        </w:rPr>
        <w:t>data or email</w:t>
      </w:r>
      <w:r>
        <w:rPr>
          <w:rFonts w:ascii="Times New Roman" w:hAnsi="Times New Roman" w:cs="Times New Roman"/>
          <w:sz w:val="24"/>
          <w:szCs w:val="24"/>
        </w:rPr>
        <w:t>s that have</w:t>
      </w:r>
      <w:r w:rsidRPr="00C344B5">
        <w:rPr>
          <w:rFonts w:ascii="Times New Roman" w:hAnsi="Times New Roman" w:cs="Times New Roman"/>
          <w:sz w:val="24"/>
          <w:szCs w:val="24"/>
        </w:rPr>
        <w:t xml:space="preserve"> already been deleted by the user</w:t>
      </w:r>
      <w:r>
        <w:rPr>
          <w:rFonts w:ascii="Times New Roman" w:hAnsi="Times New Roman" w:cs="Times New Roman"/>
          <w:sz w:val="24"/>
          <w:szCs w:val="24"/>
        </w:rPr>
        <w:t>. User data</w:t>
      </w:r>
      <w:r w:rsidRPr="00C344B5">
        <w:rPr>
          <w:rFonts w:ascii="Times New Roman" w:hAnsi="Times New Roman" w:cs="Times New Roman"/>
          <w:sz w:val="24"/>
          <w:szCs w:val="24"/>
        </w:rPr>
        <w:t xml:space="preserve"> is retained via backup copies for a period of 5 years.  When an employee either retire</w:t>
      </w:r>
      <w:r w:rsidR="0079707D">
        <w:rPr>
          <w:rFonts w:ascii="Times New Roman" w:hAnsi="Times New Roman" w:cs="Times New Roman"/>
          <w:sz w:val="24"/>
          <w:szCs w:val="24"/>
        </w:rPr>
        <w:t>s</w:t>
      </w:r>
      <w:r w:rsidRPr="00C344B5">
        <w:rPr>
          <w:rFonts w:ascii="Times New Roman" w:hAnsi="Times New Roman" w:cs="Times New Roman"/>
          <w:sz w:val="24"/>
          <w:szCs w:val="24"/>
        </w:rPr>
        <w:t xml:space="preserve">, </w:t>
      </w:r>
      <w:r w:rsidR="0079707D">
        <w:rPr>
          <w:rFonts w:ascii="Times New Roman" w:hAnsi="Times New Roman" w:cs="Times New Roman"/>
          <w:sz w:val="24"/>
          <w:szCs w:val="24"/>
        </w:rPr>
        <w:t xml:space="preserve">is </w:t>
      </w:r>
      <w:r w:rsidRPr="00C344B5">
        <w:rPr>
          <w:rFonts w:ascii="Times New Roman" w:hAnsi="Times New Roman" w:cs="Times New Roman"/>
          <w:sz w:val="24"/>
          <w:szCs w:val="24"/>
        </w:rPr>
        <w:t>terminated, or resigns</w:t>
      </w:r>
      <w:r w:rsidR="0079707D">
        <w:rPr>
          <w:rFonts w:ascii="Times New Roman" w:hAnsi="Times New Roman" w:cs="Times New Roman"/>
          <w:sz w:val="24"/>
          <w:szCs w:val="24"/>
        </w:rPr>
        <w:t>, his/her</w:t>
      </w:r>
      <w:r w:rsidRPr="00C344B5">
        <w:rPr>
          <w:rFonts w:ascii="Times New Roman" w:hAnsi="Times New Roman" w:cs="Times New Roman"/>
          <w:sz w:val="24"/>
          <w:szCs w:val="24"/>
        </w:rPr>
        <w:t xml:space="preserve"> Active Directory account </w:t>
      </w:r>
      <w:r w:rsidR="0079707D">
        <w:rPr>
          <w:rFonts w:ascii="Times New Roman" w:hAnsi="Times New Roman" w:cs="Times New Roman"/>
          <w:sz w:val="24"/>
          <w:szCs w:val="24"/>
        </w:rPr>
        <w:t>and INB (Banner) will terminate</w:t>
      </w:r>
      <w:r w:rsidRPr="00C344B5">
        <w:rPr>
          <w:rFonts w:ascii="Times New Roman" w:hAnsi="Times New Roman" w:cs="Times New Roman"/>
          <w:sz w:val="24"/>
          <w:szCs w:val="24"/>
        </w:rPr>
        <w:t xml:space="preserve"> on the date that the employee is no longer employed by the University. Data that resides on user desktops/laptops is retained until that computer is decommissioned or another employee takes over the workstation, </w:t>
      </w:r>
      <w:r w:rsidR="001F0C0D">
        <w:rPr>
          <w:rFonts w:ascii="Times New Roman" w:hAnsi="Times New Roman" w:cs="Times New Roman"/>
          <w:sz w:val="24"/>
          <w:szCs w:val="24"/>
        </w:rPr>
        <w:t>then</w:t>
      </w:r>
      <w:r w:rsidRPr="00C344B5">
        <w:rPr>
          <w:rFonts w:ascii="Times New Roman" w:hAnsi="Times New Roman" w:cs="Times New Roman"/>
          <w:sz w:val="24"/>
          <w:szCs w:val="24"/>
        </w:rPr>
        <w:t xml:space="preserve"> that computer is reimag</w:t>
      </w:r>
      <w:r w:rsidR="0079707D">
        <w:rPr>
          <w:rFonts w:ascii="Times New Roman" w:hAnsi="Times New Roman" w:cs="Times New Roman"/>
          <w:sz w:val="24"/>
          <w:szCs w:val="24"/>
        </w:rPr>
        <w:t>ed to erase all previous data. Data that resides on CITS-</w:t>
      </w:r>
      <w:r w:rsidRPr="00C344B5">
        <w:rPr>
          <w:rFonts w:ascii="Times New Roman" w:hAnsi="Times New Roman" w:cs="Times New Roman"/>
          <w:sz w:val="24"/>
          <w:szCs w:val="24"/>
        </w:rPr>
        <w:t>provisioned storage (shared network drives) is retained for 120 days beyond deletion.</w:t>
      </w:r>
    </w:p>
    <w:p w:rsidR="00C46976" w:rsidRPr="00C46976" w:rsidRDefault="00C46976" w:rsidP="002C65B6">
      <w:pPr>
        <w:spacing w:after="0"/>
        <w:rPr>
          <w:rFonts w:ascii="Times New Roman" w:hAnsi="Times New Roman" w:cs="Times New Roman"/>
        </w:rPr>
      </w:pPr>
      <w:bookmarkStart w:id="0" w:name="_GoBack"/>
      <w:bookmarkEnd w:id="0"/>
    </w:p>
    <w:sectPr w:rsidR="00C46976" w:rsidRPr="00C4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6"/>
    <w:multiLevelType w:val="multilevel"/>
    <w:tmpl w:val="00000889"/>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pPr>
        <w:ind w:hanging="360"/>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B6"/>
    <w:rsid w:val="000F5FDD"/>
    <w:rsid w:val="001F0C0D"/>
    <w:rsid w:val="002C65B6"/>
    <w:rsid w:val="002D794D"/>
    <w:rsid w:val="00327E65"/>
    <w:rsid w:val="00493BDD"/>
    <w:rsid w:val="0079707D"/>
    <w:rsid w:val="00864B3F"/>
    <w:rsid w:val="008E1B57"/>
    <w:rsid w:val="00AB726B"/>
    <w:rsid w:val="00C344B5"/>
    <w:rsid w:val="00C46976"/>
    <w:rsid w:val="00C90B97"/>
    <w:rsid w:val="00D3147A"/>
    <w:rsid w:val="00D8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21E94-7736-4854-ADE2-97683ACA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3E81.F97516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Wanda</dc:creator>
  <cp:keywords/>
  <dc:description/>
  <cp:lastModifiedBy>Benson, Willie</cp:lastModifiedBy>
  <cp:revision>2</cp:revision>
  <cp:lastPrinted>2017-10-09T14:20:00Z</cp:lastPrinted>
  <dcterms:created xsi:type="dcterms:W3CDTF">2019-02-20T19:19:00Z</dcterms:created>
  <dcterms:modified xsi:type="dcterms:W3CDTF">2019-02-20T19:19:00Z</dcterms:modified>
</cp:coreProperties>
</file>