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olicyProcedureTitlePage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3397"/>
        <w:gridCol w:w="7049"/>
      </w:tblGrid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Arial"/>
                <w:b/>
                <w:sz w:val="20"/>
                <w:szCs w:val="20"/>
              </w:rPr>
            </w:pPr>
            <w:r w:rsidRPr="00CF69FA">
              <w:rPr>
                <w:rFonts w:eastAsia="Arial" w:cs="Arial"/>
                <w:b/>
                <w:sz w:val="20"/>
                <w:szCs w:val="20"/>
              </w:rPr>
              <w:t>Name of Policy</w:t>
            </w:r>
          </w:p>
        </w:tc>
        <w:tc>
          <w:tcPr>
            <w:tcW w:w="7049" w:type="dxa"/>
          </w:tcPr>
          <w:p w:rsidR="00CF69FA" w:rsidRPr="00CF69FA" w:rsidRDefault="00773B49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Voting Leave</w:t>
            </w:r>
            <w:r w:rsidR="00CF69FA">
              <w:rPr>
                <w:rFonts w:ascii="Arial" w:eastAsia="Arial" w:hAnsi="Arial" w:cs="Arial"/>
                <w:sz w:val="20"/>
                <w:szCs w:val="20"/>
              </w:rPr>
              <w:t xml:space="preserve"> Policy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Arial"/>
                <w:b/>
                <w:sz w:val="20"/>
                <w:szCs w:val="20"/>
              </w:rPr>
            </w:pPr>
            <w:r w:rsidRPr="00CF69FA">
              <w:rPr>
                <w:rFonts w:eastAsia="Arial" w:cs="Arial"/>
                <w:b/>
                <w:sz w:val="20"/>
                <w:szCs w:val="20"/>
              </w:rPr>
              <w:t>Description of Policy</w:t>
            </w:r>
          </w:p>
        </w:tc>
        <w:tc>
          <w:tcPr>
            <w:tcW w:w="7049" w:type="dxa"/>
          </w:tcPr>
          <w:p w:rsidR="00CF69FA" w:rsidRPr="00CF69FA" w:rsidRDefault="00775D05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Voting leave allows </w:t>
            </w:r>
            <w:r w:rsidR="00773B49">
              <w:rPr>
                <w:rFonts w:ascii="Arial" w:eastAsia="Arial" w:hAnsi="Arial" w:cs="Arial"/>
                <w:sz w:val="20"/>
                <w:szCs w:val="20"/>
              </w:rPr>
              <w:t xml:space="preserve">full-time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employees to take excused and limited time off to vote on the day of an election.</w:t>
            </w:r>
          </w:p>
        </w:tc>
      </w:tr>
      <w:tr w:rsidR="00CF69FA" w:rsidRPr="00CF69FA" w:rsidTr="00CF69F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</w:tcPr>
          <w:p w:rsidR="00CF69FA" w:rsidRPr="00CF69FA" w:rsidRDefault="00CF69FA" w:rsidP="00CF69FA">
            <w:pPr>
              <w:rPr>
                <w:rFonts w:eastAsia="Arial" w:cs="Arial"/>
                <w:b/>
                <w:sz w:val="20"/>
                <w:szCs w:val="20"/>
              </w:rPr>
            </w:pPr>
            <w:r w:rsidRPr="00CF69FA">
              <w:rPr>
                <w:rFonts w:eastAsia="Arial" w:cs="Arial"/>
                <w:b/>
                <w:sz w:val="20"/>
                <w:szCs w:val="20"/>
              </w:rPr>
              <w:t>Policy applies to</w:t>
            </w:r>
          </w:p>
        </w:tc>
        <w:tc>
          <w:tcPr>
            <w:tcW w:w="7049" w:type="dxa"/>
          </w:tcPr>
          <w:p w:rsidR="00CF69FA" w:rsidRPr="00CF69FA" w:rsidRDefault="007B5C91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3863668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University-wide</w:t>
            </w:r>
          </w:p>
          <w:p w:rsidR="00CF69FA" w:rsidRPr="00CF69FA" w:rsidRDefault="007B5C91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226821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 w:rsidRPr="00CF69FA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Specific </w:t>
            </w:r>
            <w:r w:rsidR="00CF69FA" w:rsidRPr="00CF69FA">
              <w:rPr>
                <w:rFonts w:ascii="Arial" w:eastAsia="Arial" w:hAnsi="Arial" w:cs="Arial"/>
                <w:i/>
                <w:sz w:val="20"/>
                <w:szCs w:val="20"/>
              </w:rPr>
              <w:t>(outline location, campus, organisational unit, etc</w:t>
            </w:r>
            <w:r w:rsidR="00CF69FA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="00CF69FA" w:rsidRPr="00CF69FA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CF69FA" w:rsidRPr="00CF69FA" w:rsidRDefault="00CF69FA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69FA" w:rsidRPr="00CF69FA" w:rsidTr="00CF69FA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</w:tcPr>
          <w:p w:rsidR="00CF69FA" w:rsidRPr="00CF69FA" w:rsidRDefault="00CF69FA" w:rsidP="00CF69FA">
            <w:pPr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7049" w:type="dxa"/>
          </w:tcPr>
          <w:p w:rsidR="00CF69FA" w:rsidRPr="00CF69FA" w:rsidRDefault="007B5C91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139743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 w:rsidRPr="00CF69FA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Staff only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54551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 w:rsidRPr="00CF69FA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Students only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1179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 w:rsidRPr="00CF69FA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Staff and students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Arial"/>
                <w:b/>
                <w:sz w:val="20"/>
                <w:szCs w:val="20"/>
              </w:rPr>
            </w:pPr>
            <w:r w:rsidRPr="00CF69FA">
              <w:rPr>
                <w:rFonts w:eastAsia="Arial" w:cs="Arial"/>
                <w:b/>
                <w:sz w:val="20"/>
                <w:szCs w:val="20"/>
              </w:rPr>
              <w:t>Policy status</w:t>
            </w:r>
          </w:p>
        </w:tc>
        <w:tc>
          <w:tcPr>
            <w:tcW w:w="7049" w:type="dxa"/>
          </w:tcPr>
          <w:p w:rsidR="00CF69FA" w:rsidRPr="00CF69FA" w:rsidRDefault="007B5C91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65390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 w:rsidRPr="00CF69FA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New policy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21689580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CF69FA" w:rsidRPr="00CF69FA">
              <w:rPr>
                <w:rFonts w:ascii="Arial" w:eastAsia="Arial" w:hAnsi="Arial" w:cs="Arial"/>
                <w:sz w:val="20"/>
                <w:szCs w:val="20"/>
              </w:rPr>
              <w:t xml:space="preserve"> Revision of existing policy</w:t>
            </w:r>
          </w:p>
        </w:tc>
      </w:tr>
    </w:tbl>
    <w:p w:rsidR="00CF69FA" w:rsidRPr="00CF69FA" w:rsidRDefault="00CF69FA" w:rsidP="00CF69FA">
      <w:pPr>
        <w:rPr>
          <w:rFonts w:ascii="Arial" w:eastAsia="Arial" w:hAnsi="Arial" w:cs="Times New Roman"/>
          <w:sz w:val="20"/>
          <w:lang w:val="en-AU"/>
        </w:rPr>
      </w:pPr>
    </w:p>
    <w:tbl>
      <w:tblPr>
        <w:tblStyle w:val="PolicyProcedureTitlePag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049"/>
      </w:tblGrid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Approval authority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 xml:space="preserve">Senior Vice </w:t>
            </w:r>
            <w:r w:rsidR="0049208D">
              <w:rPr>
                <w:rFonts w:ascii="Arial" w:eastAsia="Arial" w:hAnsi="Arial" w:cs="Times New Roman"/>
                <w:sz w:val="20"/>
              </w:rPr>
              <w:t xml:space="preserve">President for Finance, </w:t>
            </w:r>
            <w:bookmarkStart w:id="0" w:name="_GoBack"/>
            <w:bookmarkEnd w:id="0"/>
            <w:r w:rsidR="00F905AF">
              <w:rPr>
                <w:rFonts w:ascii="Arial" w:eastAsia="Arial" w:hAnsi="Arial" w:cs="Times New Roman"/>
                <w:sz w:val="20"/>
              </w:rPr>
              <w:t>Administrative Services and Operations/CFO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Governing authority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Human Resources Management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Responsible officer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Chief Human Resources Officer</w:t>
            </w:r>
          </w:p>
        </w:tc>
      </w:tr>
    </w:tbl>
    <w:p w:rsidR="00CF69FA" w:rsidRPr="00CF69FA" w:rsidRDefault="00CF69FA" w:rsidP="00CF69FA">
      <w:pPr>
        <w:rPr>
          <w:rFonts w:ascii="Arial" w:eastAsia="Arial" w:hAnsi="Arial" w:cs="Times New Roman"/>
          <w:sz w:val="20"/>
          <w:lang w:val="en-AU"/>
        </w:rPr>
      </w:pPr>
    </w:p>
    <w:tbl>
      <w:tblPr>
        <w:tblStyle w:val="PolicyProcedureTitlePag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049"/>
      </w:tblGrid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Approval date</w:t>
            </w:r>
          </w:p>
        </w:tc>
        <w:tc>
          <w:tcPr>
            <w:tcW w:w="7049" w:type="dxa"/>
          </w:tcPr>
          <w:p w:rsidR="00CF69FA" w:rsidRPr="00CF69FA" w:rsidRDefault="00773B49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October 26, 2020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Effective date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November 1, 2020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Approval date of last revision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December 1, 2017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Effective date of last revision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December 1, 2017</w:t>
            </w:r>
          </w:p>
        </w:tc>
      </w:tr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Date of policy review*</w:t>
            </w:r>
          </w:p>
        </w:tc>
        <w:tc>
          <w:tcPr>
            <w:tcW w:w="7049" w:type="dxa"/>
          </w:tcPr>
          <w:p w:rsidR="00CF69FA" w:rsidRPr="00CF69FA" w:rsidRDefault="006A061B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October 20, 2020</w:t>
            </w:r>
          </w:p>
        </w:tc>
      </w:tr>
    </w:tbl>
    <w:p w:rsidR="00CF69FA" w:rsidRPr="00CF69FA" w:rsidRDefault="00CF69FA" w:rsidP="00CF69FA">
      <w:pPr>
        <w:rPr>
          <w:rFonts w:ascii="Arial" w:eastAsia="Arial" w:hAnsi="Arial" w:cs="Times New Roman"/>
          <w:i/>
          <w:sz w:val="20"/>
          <w:lang w:val="en-AU"/>
        </w:rPr>
      </w:pPr>
      <w:r w:rsidRPr="00CF69FA">
        <w:rPr>
          <w:rFonts w:ascii="Arial" w:eastAsia="Arial" w:hAnsi="Arial" w:cs="Times New Roman"/>
          <w:i/>
          <w:sz w:val="20"/>
          <w:lang w:val="en-AU"/>
        </w:rPr>
        <w:t>*unless otherwise indicated, this policy will still apply beyond the review date</w:t>
      </w:r>
    </w:p>
    <w:tbl>
      <w:tblPr>
        <w:tblStyle w:val="PolicyProcedureTitlePag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049"/>
      </w:tblGrid>
      <w:tr w:rsidR="00CF69FA" w:rsidRPr="00CF69FA" w:rsidTr="00CF6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top"/>
          </w:tcPr>
          <w:p w:rsidR="00CF69FA" w:rsidRPr="00CF69FA" w:rsidRDefault="00CF69FA" w:rsidP="00CF69FA">
            <w:pPr>
              <w:rPr>
                <w:rFonts w:eastAsia="Arial" w:cs="Times New Roman"/>
                <w:b/>
                <w:sz w:val="20"/>
              </w:rPr>
            </w:pPr>
            <w:r w:rsidRPr="00CF69FA">
              <w:rPr>
                <w:rFonts w:eastAsia="Arial" w:cs="Times New Roman"/>
                <w:b/>
                <w:sz w:val="20"/>
              </w:rPr>
              <w:t>Related legislation, policies, procedures, guidelines and local protocols</w:t>
            </w:r>
          </w:p>
        </w:tc>
        <w:tc>
          <w:tcPr>
            <w:tcW w:w="7049" w:type="dxa"/>
            <w:vAlign w:val="top"/>
          </w:tcPr>
          <w:p w:rsidR="00CF69FA" w:rsidRPr="00CF69FA" w:rsidRDefault="00CF69FA" w:rsidP="00CF6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20"/>
              </w:rPr>
            </w:pPr>
          </w:p>
        </w:tc>
      </w:tr>
    </w:tbl>
    <w:p w:rsidR="00CF69FA" w:rsidRPr="00CF69FA" w:rsidRDefault="00CF69FA" w:rsidP="00CF69FA">
      <w:pPr>
        <w:rPr>
          <w:rFonts w:ascii="Arial" w:eastAsia="Arial" w:hAnsi="Arial" w:cs="Times New Roman"/>
          <w:sz w:val="20"/>
          <w:lang w:val="en-AU"/>
        </w:rPr>
      </w:pPr>
    </w:p>
    <w:p w:rsidR="00CF69FA" w:rsidRPr="00CF69FA" w:rsidRDefault="00CF69FA" w:rsidP="00CF69FA">
      <w:pPr>
        <w:numPr>
          <w:ilvl w:val="1"/>
          <w:numId w:val="0"/>
        </w:numPr>
        <w:spacing w:before="40" w:after="240" w:line="288" w:lineRule="auto"/>
        <w:rPr>
          <w:rFonts w:ascii="Georgia" w:eastAsia="Times New Roman" w:hAnsi="Georgia" w:cs="Times New Roman"/>
          <w:sz w:val="28"/>
          <w:lang w:val="en-AU"/>
        </w:rPr>
      </w:pPr>
      <w:r w:rsidRPr="00CF69FA">
        <w:rPr>
          <w:rFonts w:ascii="Georgia" w:eastAsia="Times New Roman" w:hAnsi="Georgia" w:cs="Times New Roman"/>
          <w:color w:val="3A3634"/>
          <w:sz w:val="28"/>
          <w:lang w:val="en-AU"/>
        </w:rPr>
        <w:t>S</w:t>
      </w:r>
      <w:r w:rsidRPr="00CF69FA">
        <w:rPr>
          <w:rFonts w:ascii="Georgia" w:eastAsia="Times New Roman" w:hAnsi="Georgia" w:cs="Times New Roman"/>
          <w:sz w:val="28"/>
          <w:lang w:val="en-AU"/>
        </w:rPr>
        <w:t>uggested headings for Table of Contents</w:t>
      </w:r>
    </w:p>
    <w:p w:rsidR="00CF69FA" w:rsidRPr="00CF69FA" w:rsidRDefault="00CF69FA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  <w:r w:rsidRPr="00CF69FA">
        <w:rPr>
          <w:rFonts w:ascii="Arial" w:eastAsia="Arial" w:hAnsi="Arial" w:cs="Times New Roman"/>
          <w:sz w:val="20"/>
          <w:lang w:val="en-AU"/>
        </w:rPr>
        <w:fldChar w:fldCharType="begin"/>
      </w:r>
      <w:r w:rsidRPr="00CF69FA">
        <w:rPr>
          <w:rFonts w:ascii="Arial" w:eastAsia="Arial" w:hAnsi="Arial" w:cs="Times New Roman"/>
          <w:sz w:val="20"/>
          <w:lang w:val="en-AU"/>
        </w:rPr>
        <w:instrText xml:space="preserve"> TOC \o "1-2" \h \z \u </w:instrText>
      </w:r>
      <w:r w:rsidRPr="00CF69FA">
        <w:rPr>
          <w:rFonts w:ascii="Arial" w:eastAsia="Arial" w:hAnsi="Arial" w:cs="Times New Roman"/>
          <w:sz w:val="20"/>
          <w:lang w:val="en-AU"/>
        </w:rPr>
        <w:fldChar w:fldCharType="separate"/>
      </w:r>
      <w:hyperlink w:anchor="_Toc502843713" w:history="1">
        <w:r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1.</w:t>
        </w:r>
        <w:r w:rsidRPr="00CF69FA">
          <w:rPr>
            <w:rFonts w:ascii="Arial" w:eastAsia="Times New Roman" w:hAnsi="Arial" w:cs="Times New Roman"/>
            <w:noProof/>
            <w:lang w:val="en-AU" w:eastAsia="en-AU"/>
          </w:rPr>
          <w:tab/>
        </w:r>
        <w:r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Background</w:t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ab/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begin"/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instrText xml:space="preserve"> PAGEREF _Toc502843713 \h </w:instrText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separate"/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>2</w:t>
        </w:r>
        <w:r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end"/>
        </w:r>
      </w:hyperlink>
    </w:p>
    <w:p w:rsidR="00CF69FA" w:rsidRPr="00CF69FA" w:rsidRDefault="007B5C91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  <w:hyperlink w:anchor="_Toc502843714" w:history="1"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2.</w:t>
        </w:r>
        <w:r w:rsidR="00CF69FA" w:rsidRPr="00CF69FA">
          <w:rPr>
            <w:rFonts w:ascii="Arial" w:eastAsia="Times New Roman" w:hAnsi="Arial" w:cs="Times New Roman"/>
            <w:noProof/>
            <w:lang w:val="en-AU" w:eastAsia="en-AU"/>
          </w:rPr>
          <w:tab/>
        </w:r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Purpose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ab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begin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instrText xml:space="preserve"> PAGEREF _Toc502843714 \h </w:instrTex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separate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>2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end"/>
        </w:r>
      </w:hyperlink>
    </w:p>
    <w:p w:rsidR="00CF69FA" w:rsidRPr="00CF69FA" w:rsidRDefault="007B5C91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  <w:hyperlink w:anchor="_Toc502843715" w:history="1"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3.</w:t>
        </w:r>
        <w:r w:rsidR="00CF69FA" w:rsidRPr="00CF69FA">
          <w:rPr>
            <w:rFonts w:ascii="Arial" w:eastAsia="Times New Roman" w:hAnsi="Arial" w:cs="Times New Roman"/>
            <w:noProof/>
            <w:lang w:val="en-AU" w:eastAsia="en-AU"/>
          </w:rPr>
          <w:tab/>
        </w:r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Scope/Application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ab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begin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instrText xml:space="preserve"> PAGEREF _Toc502843715 \h </w:instrTex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separate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>2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end"/>
        </w:r>
      </w:hyperlink>
    </w:p>
    <w:p w:rsidR="00CF69FA" w:rsidRPr="00CF69FA" w:rsidRDefault="007B5C91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  <w:hyperlink w:anchor="_Toc502843716" w:history="1"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4.</w:t>
        </w:r>
        <w:r w:rsidR="00CF69FA" w:rsidRPr="00CF69FA">
          <w:rPr>
            <w:rFonts w:ascii="Arial" w:eastAsia="Times New Roman" w:hAnsi="Arial" w:cs="Times New Roman"/>
            <w:noProof/>
            <w:lang w:val="en-AU" w:eastAsia="en-AU"/>
          </w:rPr>
          <w:tab/>
        </w:r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Policy Statement and Principles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ab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begin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instrText xml:space="preserve"> PAGEREF _Toc502843716 \h </w:instrTex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separate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>2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end"/>
        </w:r>
      </w:hyperlink>
    </w:p>
    <w:p w:rsidR="00CF69FA" w:rsidRPr="00CF69FA" w:rsidRDefault="007B5C91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  <w:hyperlink w:anchor="_Toc502843718" w:history="1">
        <w:r w:rsidR="00775D05">
          <w:rPr>
            <w:rFonts w:ascii="Arial" w:eastAsia="Arial" w:hAnsi="Arial" w:cs="Times New Roman"/>
            <w:noProof/>
            <w:sz w:val="20"/>
            <w:u w:val="single"/>
            <w:lang w:val="en-AU"/>
          </w:rPr>
          <w:t>5</w:t>
        </w:r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.</w:t>
        </w:r>
        <w:r w:rsidR="00CF69FA" w:rsidRPr="00CF69FA">
          <w:rPr>
            <w:rFonts w:ascii="Arial" w:eastAsia="Times New Roman" w:hAnsi="Arial" w:cs="Times New Roman"/>
            <w:noProof/>
            <w:lang w:val="en-AU" w:eastAsia="en-AU"/>
          </w:rPr>
          <w:tab/>
        </w:r>
        <w:r w:rsidR="00CF69FA" w:rsidRPr="00CF69FA">
          <w:rPr>
            <w:rFonts w:ascii="Arial" w:eastAsia="Arial" w:hAnsi="Arial" w:cs="Times New Roman"/>
            <w:noProof/>
            <w:sz w:val="20"/>
            <w:u w:val="single"/>
            <w:lang w:val="en-AU"/>
          </w:rPr>
          <w:t>Review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ab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begin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instrText xml:space="preserve"> PAGEREF _Toc502843718 \h </w:instrTex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separate"/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t>2</w:t>
        </w:r>
        <w:r w:rsidR="00CF69FA" w:rsidRPr="00CF69FA">
          <w:rPr>
            <w:rFonts w:ascii="Arial" w:eastAsia="Arial" w:hAnsi="Arial" w:cs="Times New Roman"/>
            <w:noProof/>
            <w:webHidden/>
            <w:sz w:val="20"/>
            <w:lang w:val="en-AU"/>
          </w:rPr>
          <w:fldChar w:fldCharType="end"/>
        </w:r>
      </w:hyperlink>
    </w:p>
    <w:p w:rsidR="00CF69FA" w:rsidRPr="00CF69FA" w:rsidRDefault="00CF69FA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</w:p>
    <w:p w:rsidR="00CF69FA" w:rsidRPr="00CF69FA" w:rsidRDefault="00CF69FA" w:rsidP="00CF69FA">
      <w:pPr>
        <w:tabs>
          <w:tab w:val="left" w:pos="440"/>
          <w:tab w:val="right" w:leader="dot" w:pos="10456"/>
        </w:tabs>
        <w:spacing w:after="100" w:line="288" w:lineRule="auto"/>
        <w:rPr>
          <w:rFonts w:ascii="Arial" w:eastAsia="Times New Roman" w:hAnsi="Arial" w:cs="Times New Roman"/>
          <w:noProof/>
          <w:lang w:val="en-AU" w:eastAsia="en-AU"/>
        </w:rPr>
      </w:pPr>
    </w:p>
    <w:p w:rsidR="00A759B9" w:rsidRDefault="00CF69FA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  <w:r w:rsidRPr="00CF69FA">
        <w:rPr>
          <w:rFonts w:ascii="Arial" w:eastAsia="Arial" w:hAnsi="Arial" w:cs="Times New Roman"/>
          <w:sz w:val="20"/>
          <w:lang w:val="en-AU"/>
        </w:rPr>
        <w:fldChar w:fldCharType="end"/>
      </w:r>
      <w:bookmarkStart w:id="1" w:name="_Toc502843713"/>
    </w:p>
    <w:p w:rsidR="00A759B9" w:rsidRDefault="00A759B9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A759B9" w:rsidRDefault="00A759B9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A759B9" w:rsidRDefault="00A759B9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A759B9" w:rsidRDefault="00A759B9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A759B9" w:rsidRDefault="00A759B9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CF69FA" w:rsidRPr="00A759B9" w:rsidRDefault="00CF69FA" w:rsidP="00A759B9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lastRenderedPageBreak/>
        <w:t>Background</w:t>
      </w:r>
      <w:bookmarkEnd w:id="1"/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t xml:space="preserve"> </w:t>
      </w:r>
    </w:p>
    <w:p w:rsidR="0091256C" w:rsidRDefault="00E73862" w:rsidP="00E470DE">
      <w:pPr>
        <w:keepNext/>
        <w:keepLines/>
        <w:spacing w:after="0" w:line="288" w:lineRule="auto"/>
        <w:ind w:left="454" w:hanging="454"/>
        <w:outlineLvl w:val="0"/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</w:pPr>
      <w:r w:rsidRPr="00F1007F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While there is no</w:t>
      </w:r>
      <w:r w:rsid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 federal or state law </w:t>
      </w:r>
      <w:r w:rsidR="0091256C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which requires an entity to allow its</w:t>
      </w:r>
      <w:r w:rsid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 </w:t>
      </w:r>
      <w:r w:rsidR="00773B49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full-time </w:t>
      </w:r>
      <w:r w:rsid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employees to </w:t>
      </w:r>
      <w:r w:rsidR="0091256C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take </w:t>
      </w:r>
      <w:r w:rsid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time off to vote, </w:t>
      </w:r>
    </w:p>
    <w:p w:rsidR="00773B49" w:rsidRDefault="00E470DE" w:rsidP="0091256C">
      <w:pPr>
        <w:keepNext/>
        <w:keepLines/>
        <w:spacing w:after="0" w:line="288" w:lineRule="auto"/>
        <w:ind w:left="454" w:hanging="454"/>
        <w:outlineLvl w:val="0"/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Alcorn State University elects to extend this privilege</w:t>
      </w:r>
      <w:r w:rsidR="00773B49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 to full-time faculty and staff</w:t>
      </w: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, under specified </w:t>
      </w:r>
    </w:p>
    <w:p w:rsidR="00E73862" w:rsidRPr="00F1007F" w:rsidRDefault="00E470DE" w:rsidP="0091256C">
      <w:pPr>
        <w:keepNext/>
        <w:keepLines/>
        <w:spacing w:after="0" w:line="288" w:lineRule="auto"/>
        <w:ind w:left="454" w:hanging="454"/>
        <w:outlineLvl w:val="0"/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circumstances</w:t>
      </w:r>
      <w:r w:rsidR="00A759B9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.</w:t>
      </w:r>
    </w:p>
    <w:p w:rsidR="00CF69FA" w:rsidRPr="00CF69FA" w:rsidRDefault="00CF69FA" w:rsidP="00CF69FA">
      <w:pPr>
        <w:spacing w:after="120" w:line="288" w:lineRule="auto"/>
        <w:rPr>
          <w:rFonts w:ascii="Arial" w:eastAsia="Arial" w:hAnsi="Arial" w:cs="Times New Roman"/>
          <w:sz w:val="20"/>
          <w:lang w:val="en-AU"/>
        </w:rPr>
      </w:pPr>
    </w:p>
    <w:p w:rsidR="00CF69FA" w:rsidRDefault="00CF69FA" w:rsidP="00CF69FA">
      <w:pPr>
        <w:keepNext/>
        <w:keepLines/>
        <w:spacing w:before="240" w:after="320" w:line="288" w:lineRule="auto"/>
        <w:ind w:left="454" w:hanging="454"/>
        <w:outlineLvl w:val="0"/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</w:pPr>
      <w:bookmarkStart w:id="2" w:name="_Toc502843714"/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t>Purpose</w:t>
      </w:r>
      <w:bookmarkEnd w:id="2"/>
    </w:p>
    <w:p w:rsidR="00491400" w:rsidRPr="00491400" w:rsidRDefault="00E470DE" w:rsidP="00491400">
      <w:pPr>
        <w:keepNext/>
        <w:keepLines/>
        <w:spacing w:before="240" w:after="320" w:line="288" w:lineRule="auto"/>
        <w:ind w:left="454" w:hanging="454"/>
        <w:outlineLvl w:val="0"/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</w:pPr>
      <w:r w:rsidRP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It is the intent of this policy to encoura</w:t>
      </w: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ge and support </w:t>
      </w:r>
      <w:r w:rsidR="00773B49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full-time </w:t>
      </w: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employee</w:t>
      </w:r>
      <w:r w:rsidR="0091256C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s’</w:t>
      </w:r>
      <w:r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 participation</w:t>
      </w:r>
      <w:r w:rsidRP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 </w:t>
      </w:r>
      <w:r w:rsidR="0091256C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 xml:space="preserve">in </w:t>
      </w:r>
      <w:r w:rsidRPr="00E470DE">
        <w:rPr>
          <w:rFonts w:ascii="Times New Roman" w:eastAsia="Times New Roman" w:hAnsi="Times New Roman" w:cs="Times New Roman"/>
          <w:color w:val="3C1053"/>
          <w:sz w:val="24"/>
          <w:szCs w:val="24"/>
          <w:lang w:val="en-AU"/>
        </w:rPr>
        <w:t>the electoral process.</w:t>
      </w:r>
    </w:p>
    <w:p w:rsidR="00CF69FA" w:rsidRDefault="00CF69FA" w:rsidP="00CF69FA">
      <w:pPr>
        <w:keepNext/>
        <w:keepLines/>
        <w:spacing w:before="240" w:after="320" w:line="288" w:lineRule="auto"/>
        <w:ind w:left="454" w:hanging="454"/>
        <w:outlineLvl w:val="0"/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</w:pPr>
      <w:bookmarkStart w:id="3" w:name="_Toc502843715"/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t>Scope/Application</w:t>
      </w:r>
      <w:bookmarkEnd w:id="3"/>
    </w:p>
    <w:p w:rsidR="00CF69FA" w:rsidRPr="00491400" w:rsidRDefault="00F1007F" w:rsidP="00491400">
      <w:pPr>
        <w:keepNext/>
        <w:keepLines/>
        <w:spacing w:before="240" w:after="320" w:line="288" w:lineRule="auto"/>
        <w:ind w:left="454" w:hanging="454"/>
        <w:outlineLvl w:val="0"/>
        <w:rPr>
          <w:rFonts w:ascii="Times New Roman" w:eastAsia="Times New Roman" w:hAnsi="Times New Roman" w:cs="Times New Roman"/>
          <w:lang w:val="en-AU"/>
        </w:rPr>
      </w:pPr>
      <w:r w:rsidRPr="00F1007F">
        <w:rPr>
          <w:rFonts w:ascii="Times New Roman" w:eastAsia="Times New Roman" w:hAnsi="Times New Roman" w:cs="Times New Roman"/>
          <w:lang w:val="en-AU"/>
        </w:rPr>
        <w:t>Full-time faculty and staff of Alcorn State University</w:t>
      </w:r>
    </w:p>
    <w:p w:rsidR="00CF69FA" w:rsidRDefault="00CF69FA" w:rsidP="00AC6BF2">
      <w:pPr>
        <w:keepNext/>
        <w:keepLines/>
        <w:spacing w:before="240" w:after="320" w:line="288" w:lineRule="auto"/>
        <w:ind w:left="454" w:hanging="454"/>
        <w:outlineLvl w:val="0"/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</w:pPr>
      <w:bookmarkStart w:id="4" w:name="_Toc502843716"/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t>Policy Statement and Principles</w:t>
      </w:r>
      <w:bookmarkEnd w:id="4"/>
    </w:p>
    <w:p w:rsidR="00491400" w:rsidRPr="00854B04" w:rsidRDefault="00491400" w:rsidP="00491400">
      <w:pPr>
        <w:spacing w:after="150" w:line="330" w:lineRule="atLeas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Alcorn State University 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believes that it is the responsibility and duty </w:t>
      </w:r>
      <w:r w:rsidR="00773B49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of </w:t>
      </w:r>
      <w:r w:rsidR="00773B4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its full-time 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>employees to exercise the privilege of voting in elections. In accordance wi</w:t>
      </w:r>
      <w:r w:rsidR="00A759B9">
        <w:rPr>
          <w:rFonts w:ascii="Times New Roman" w:eastAsia="Times New Roman" w:hAnsi="Times New Roman" w:cs="Times New Roman"/>
          <w:color w:val="494949"/>
          <w:sz w:val="24"/>
          <w:szCs w:val="24"/>
        </w:rPr>
        <w:t>th this philosophy, the U</w:t>
      </w:r>
      <w:r w:rsidR="0091256C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niversity 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>will grant its</w:t>
      </w:r>
      <w:r w:rsidR="00773B4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full-time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employees approved time off to vote</w:t>
      </w:r>
      <w:r w:rsidR="0091256C">
        <w:rPr>
          <w:rFonts w:ascii="Times New Roman" w:eastAsia="Times New Roman" w:hAnsi="Times New Roman" w:cs="Times New Roman"/>
          <w:color w:val="494949"/>
          <w:sz w:val="24"/>
          <w:szCs w:val="24"/>
        </w:rPr>
        <w:t>,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if necessary</w:t>
      </w:r>
      <w:r w:rsidR="0091256C">
        <w:rPr>
          <w:rFonts w:ascii="Times New Roman" w:eastAsia="Times New Roman" w:hAnsi="Times New Roman" w:cs="Times New Roman"/>
          <w:color w:val="494949"/>
          <w:sz w:val="24"/>
          <w:szCs w:val="24"/>
        </w:rPr>
        <w:t>, due to work schedules as well as</w:t>
      </w:r>
      <w:r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for periods of service as an election official. </w:t>
      </w:r>
    </w:p>
    <w:p w:rsidR="00491400" w:rsidRPr="00854B04" w:rsidRDefault="00491400" w:rsidP="00491400">
      <w:pPr>
        <w:spacing w:after="150" w:line="330" w:lineRule="atLeas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854B0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Time Off for Voting</w:t>
      </w:r>
    </w:p>
    <w:p w:rsidR="00491400" w:rsidRPr="00854B04" w:rsidRDefault="00773B49" w:rsidP="00491400">
      <w:pPr>
        <w:spacing w:after="150" w:line="330" w:lineRule="atLeas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Full-time 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employees should be able to vote either before or after regularly assigned work hours. However, when this is not possible due to work </w:t>
      </w:r>
      <w:r w:rsidR="0091256C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demands and 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schedules, managers are authorized to grant a reasonable period of time, </w:t>
      </w:r>
      <w:r w:rsidR="0091256C">
        <w:rPr>
          <w:rFonts w:ascii="Times New Roman" w:eastAsia="Times New Roman" w:hAnsi="Times New Roman" w:cs="Times New Roman"/>
          <w:color w:val="494949"/>
          <w:sz w:val="24"/>
          <w:szCs w:val="24"/>
        </w:rPr>
        <w:t>not to exceed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three hours, during the work day to vote. </w:t>
      </w:r>
      <w:r w:rsidR="004914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Supervisors are authorized to approve such leave, when it is feasible to do so. 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>This</w:t>
      </w:r>
      <w:r w:rsidR="004914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time off will be with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pay. Time off for voting should be reported and coded appropriately on timekeeping records. </w:t>
      </w:r>
    </w:p>
    <w:p w:rsidR="00491400" w:rsidRPr="00854B04" w:rsidRDefault="00491400" w:rsidP="00491400">
      <w:pPr>
        <w:spacing w:after="150" w:line="330" w:lineRule="atLeas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854B04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Time Off for Election Service</w:t>
      </w:r>
    </w:p>
    <w:p w:rsidR="00491400" w:rsidRPr="00E1461B" w:rsidRDefault="00773B49" w:rsidP="00E1461B">
      <w:pPr>
        <w:spacing w:line="330" w:lineRule="atLeas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Full-time e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mployees who are chosen to serve as election officials at polling sites will be permitted to take required time off to serve in this capacity.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Full-time e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>mployees who are chosen to act as election off</w:t>
      </w:r>
      <w:r w:rsidR="00491400">
        <w:rPr>
          <w:rFonts w:ascii="Times New Roman" w:eastAsia="Times New Roman" w:hAnsi="Times New Roman" w:cs="Times New Roman"/>
          <w:color w:val="494949"/>
          <w:sz w:val="24"/>
          <w:szCs w:val="24"/>
        </w:rPr>
        <w:t>icials must notify their supervisor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a minimum of seven days in advance of their need for time off in order to accommodate the necessary rescheduling of work periods. </w:t>
      </w: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Full-time e</w:t>
      </w:r>
      <w:r w:rsidR="00491400" w:rsidRPr="00854B04">
        <w:rPr>
          <w:rFonts w:ascii="Times New Roman" w:eastAsia="Times New Roman" w:hAnsi="Times New Roman" w:cs="Times New Roman"/>
          <w:color w:val="494949"/>
          <w:sz w:val="24"/>
          <w:szCs w:val="24"/>
        </w:rPr>
        <w:t>mployees must report time engaged as an election official and code this time accordingly on timekeeping records. </w:t>
      </w:r>
    </w:p>
    <w:p w:rsidR="00CF69FA" w:rsidRDefault="00CF69FA" w:rsidP="00CF69FA">
      <w:pPr>
        <w:keepNext/>
        <w:keepLines/>
        <w:spacing w:before="240" w:after="320" w:line="288" w:lineRule="auto"/>
        <w:ind w:left="454" w:hanging="454"/>
        <w:outlineLvl w:val="0"/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</w:pPr>
      <w:bookmarkStart w:id="5" w:name="_Toc502843718"/>
      <w:r w:rsidRPr="00CF69FA">
        <w:rPr>
          <w:rFonts w:ascii="Georgia" w:eastAsia="Times New Roman" w:hAnsi="Georgia" w:cs="Times New Roman"/>
          <w:color w:val="3C1053"/>
          <w:sz w:val="32"/>
          <w:szCs w:val="32"/>
          <w:lang w:val="en-AU"/>
        </w:rPr>
        <w:t>Review</w:t>
      </w:r>
      <w:bookmarkEnd w:id="5"/>
    </w:p>
    <w:p w:rsidR="00E470DE" w:rsidRPr="00E470DE" w:rsidRDefault="00E470DE" w:rsidP="00CF69FA">
      <w:pPr>
        <w:keepNext/>
        <w:keepLines/>
        <w:spacing w:before="240" w:after="320" w:line="288" w:lineRule="auto"/>
        <w:ind w:left="454" w:hanging="454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E470DE">
        <w:rPr>
          <w:rFonts w:ascii="Times New Roman" w:eastAsia="Times New Roman" w:hAnsi="Times New Roman" w:cs="Times New Roman"/>
          <w:sz w:val="24"/>
          <w:szCs w:val="24"/>
          <w:lang w:val="en-AU"/>
        </w:rPr>
        <w:t>This policy will be reviewed annually.</w:t>
      </w:r>
    </w:p>
    <w:p w:rsidR="00AE33CE" w:rsidRDefault="007B5C91"/>
    <w:sectPr w:rsidR="00AE33CE" w:rsidSect="00255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720" w:bottom="720" w:left="720" w:header="7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91" w:rsidRDefault="007B5C91">
      <w:pPr>
        <w:spacing w:after="0" w:line="240" w:lineRule="auto"/>
      </w:pPr>
      <w:r>
        <w:separator/>
      </w:r>
    </w:p>
  </w:endnote>
  <w:endnote w:type="continuationSeparator" w:id="0">
    <w:p w:rsidR="007B5C91" w:rsidRDefault="007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FA" w:rsidRDefault="00F25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EA" w:rsidRPr="00A30EEA" w:rsidRDefault="00CF69FA">
    <w:pPr>
      <w:pStyle w:val="Footer"/>
      <w:rPr>
        <w:caps/>
        <w:color w:val="3A3634"/>
        <w:sz w:val="16"/>
        <w:szCs w:val="16"/>
      </w:rPr>
    </w:pPr>
    <w:r w:rsidRPr="00A30EEA">
      <w:rPr>
        <w:caps/>
        <w:color w:val="3A3634"/>
        <w:sz w:val="16"/>
        <w:szCs w:val="16"/>
      </w:rPr>
      <w:fldChar w:fldCharType="begin"/>
    </w:r>
    <w:r w:rsidRPr="00A30EEA">
      <w:rPr>
        <w:caps/>
        <w:color w:val="3A3634"/>
        <w:sz w:val="16"/>
        <w:szCs w:val="16"/>
      </w:rPr>
      <w:instrText xml:space="preserve"> PAGE   \* MERGEFORMAT </w:instrText>
    </w:r>
    <w:r w:rsidRPr="00A30EEA">
      <w:rPr>
        <w:caps/>
        <w:color w:val="3A3634"/>
        <w:sz w:val="16"/>
        <w:szCs w:val="16"/>
      </w:rPr>
      <w:fldChar w:fldCharType="separate"/>
    </w:r>
    <w:r w:rsidR="0049208D">
      <w:rPr>
        <w:caps/>
        <w:noProof/>
        <w:color w:val="3A3634"/>
        <w:sz w:val="16"/>
        <w:szCs w:val="16"/>
      </w:rPr>
      <w:t>2</w:t>
    </w:r>
    <w:r w:rsidRPr="00A30EEA">
      <w:rPr>
        <w:caps/>
        <w:noProof/>
        <w:color w:val="3A3634"/>
        <w:sz w:val="16"/>
        <w:szCs w:val="16"/>
      </w:rPr>
      <w:fldChar w:fldCharType="end"/>
    </w:r>
    <w:r>
      <w:rPr>
        <w:caps/>
        <w:noProof/>
        <w:color w:val="3A3634"/>
        <w:sz w:val="16"/>
        <w:szCs w:val="16"/>
      </w:rPr>
      <w:t xml:space="preserve"> |</w:t>
    </w:r>
    <w:r w:rsidR="00E1461B">
      <w:rPr>
        <w:caps/>
        <w:noProof/>
        <w:color w:val="3A3634"/>
        <w:sz w:val="16"/>
        <w:szCs w:val="16"/>
      </w:rPr>
      <w:t>VOTING LEAVE POLICY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FA" w:rsidRDefault="00F2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91" w:rsidRDefault="007B5C91">
      <w:pPr>
        <w:spacing w:after="0" w:line="240" w:lineRule="auto"/>
      </w:pPr>
      <w:r>
        <w:separator/>
      </w:r>
    </w:p>
  </w:footnote>
  <w:footnote w:type="continuationSeparator" w:id="0">
    <w:p w:rsidR="007B5C91" w:rsidRDefault="007B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FA" w:rsidRDefault="00F25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FA" w:rsidRDefault="00F25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9E" w:rsidRDefault="00CF69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364B7D" wp14:editId="26FAE928">
          <wp:simplePos x="0" y="0"/>
          <wp:positionH relativeFrom="margin">
            <wp:posOffset>4975860</wp:posOffset>
          </wp:positionH>
          <wp:positionV relativeFrom="paragraph">
            <wp:posOffset>0</wp:posOffset>
          </wp:positionV>
          <wp:extent cx="1602000" cy="579600"/>
          <wp:effectExtent l="0" t="0" r="0" b="0"/>
          <wp:wrapNone/>
          <wp:docPr id="2" name="Picture 2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FA"/>
    <w:rsid w:val="0008094D"/>
    <w:rsid w:val="0023699E"/>
    <w:rsid w:val="00491400"/>
    <w:rsid w:val="0049208D"/>
    <w:rsid w:val="005D1F2B"/>
    <w:rsid w:val="00675DB0"/>
    <w:rsid w:val="006A061B"/>
    <w:rsid w:val="007074E8"/>
    <w:rsid w:val="00726207"/>
    <w:rsid w:val="00773B49"/>
    <w:rsid w:val="00775D05"/>
    <w:rsid w:val="007B5C91"/>
    <w:rsid w:val="0091256C"/>
    <w:rsid w:val="00984A12"/>
    <w:rsid w:val="009A06D8"/>
    <w:rsid w:val="00A71C98"/>
    <w:rsid w:val="00A759B9"/>
    <w:rsid w:val="00AC6BF2"/>
    <w:rsid w:val="00CF69FA"/>
    <w:rsid w:val="00E1461B"/>
    <w:rsid w:val="00E470DE"/>
    <w:rsid w:val="00E73862"/>
    <w:rsid w:val="00F1007F"/>
    <w:rsid w:val="00F253FA"/>
    <w:rsid w:val="00F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8164A"/>
  <w15:chartTrackingRefBased/>
  <w15:docId w15:val="{B1CEB23E-4F44-4F62-8CE3-F80CE10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FA"/>
  </w:style>
  <w:style w:type="paragraph" w:styleId="Footer">
    <w:name w:val="footer"/>
    <w:basedOn w:val="Normal"/>
    <w:link w:val="FooterChar"/>
    <w:uiPriority w:val="99"/>
    <w:unhideWhenUsed/>
    <w:rsid w:val="00CF6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FA"/>
  </w:style>
  <w:style w:type="table" w:customStyle="1" w:styleId="PolicyProcedureTitlePage">
    <w:name w:val="PolicyProcedure Title Page"/>
    <w:basedOn w:val="TableNormal"/>
    <w:uiPriority w:val="99"/>
    <w:rsid w:val="00CF69FA"/>
    <w:pPr>
      <w:spacing w:after="0" w:line="240" w:lineRule="auto"/>
    </w:pPr>
    <w:rPr>
      <w:lang w:val="en-AU"/>
    </w:rPr>
    <w:tblPr>
      <w:tblBorders>
        <w:top w:val="single" w:sz="4" w:space="0" w:color="7F7A77"/>
        <w:left w:val="single" w:sz="4" w:space="0" w:color="7F7A77"/>
        <w:bottom w:val="single" w:sz="4" w:space="0" w:color="7F7A77"/>
        <w:right w:val="single" w:sz="4" w:space="0" w:color="7F7A77"/>
        <w:insideH w:val="single" w:sz="4" w:space="0" w:color="7F7A77"/>
        <w:insideV w:val="single" w:sz="4" w:space="0" w:color="7F7A77"/>
      </w:tblBorders>
    </w:tblPr>
    <w:tcPr>
      <w:vAlign w:val="center"/>
    </w:tcPr>
    <w:tblStylePr w:type="firstCol">
      <w:pPr>
        <w:jc w:val="left"/>
      </w:pPr>
      <w:rPr>
        <w:rFonts w:ascii="Arial" w:hAnsi="Arial"/>
        <w:color w:val="auto"/>
        <w:sz w:val="22"/>
      </w:rPr>
      <w:tblPr/>
      <w:tcPr>
        <w:shd w:val="clear" w:color="auto" w:fill="E8E3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Wanda</dc:creator>
  <cp:keywords/>
  <dc:description/>
  <cp:lastModifiedBy>Fleming, Wanda C.</cp:lastModifiedBy>
  <cp:revision>13</cp:revision>
  <dcterms:created xsi:type="dcterms:W3CDTF">2020-10-20T21:42:00Z</dcterms:created>
  <dcterms:modified xsi:type="dcterms:W3CDTF">2020-10-27T21:19:00Z</dcterms:modified>
</cp:coreProperties>
</file>