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F6CE" w14:textId="32268451" w:rsidR="00EA023C" w:rsidRPr="00453FFD" w:rsidRDefault="00EA023C" w:rsidP="00EA023C">
      <w:pPr>
        <w:rPr>
          <w:sz w:val="28"/>
          <w:szCs w:val="28"/>
        </w:rPr>
      </w:pPr>
      <w:r w:rsidRPr="00EB08EB">
        <w:rPr>
          <w:b/>
          <w:bCs/>
          <w:sz w:val="28"/>
          <w:szCs w:val="28"/>
        </w:rPr>
        <w:t>ALCORN STATE UNIVERSITY</w:t>
      </w:r>
    </w:p>
    <w:p w14:paraId="14F40BE3" w14:textId="59FAD65A" w:rsidR="00EA023C" w:rsidRDefault="009C50F8" w:rsidP="00EA023C">
      <w:pPr>
        <w:rPr>
          <w:b/>
          <w:bCs/>
          <w:sz w:val="28"/>
          <w:szCs w:val="28"/>
        </w:rPr>
      </w:pPr>
      <w:r w:rsidRPr="009C50F8">
        <w:rPr>
          <w:b/>
          <w:bCs/>
          <w:sz w:val="28"/>
          <w:szCs w:val="28"/>
        </w:rPr>
        <w:t>Beverage Pouring Rights</w:t>
      </w:r>
      <w:r>
        <w:rPr>
          <w:b/>
          <w:bCs/>
          <w:sz w:val="28"/>
          <w:szCs w:val="28"/>
        </w:rPr>
        <w:t xml:space="preserve"> RFP</w:t>
      </w:r>
      <w:r w:rsidR="009C6A04">
        <w:rPr>
          <w:b/>
          <w:bCs/>
          <w:sz w:val="28"/>
          <w:szCs w:val="28"/>
        </w:rPr>
        <w:t>#5522</w:t>
      </w:r>
      <w:r>
        <w:rPr>
          <w:b/>
          <w:bCs/>
          <w:sz w:val="28"/>
          <w:szCs w:val="28"/>
        </w:rPr>
        <w:t xml:space="preserve"> Questions and Answers</w:t>
      </w:r>
    </w:p>
    <w:p w14:paraId="5D5BFA8F" w14:textId="56943111" w:rsidR="00134900" w:rsidRDefault="00134900" w:rsidP="00EA02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Addendum #2</w:t>
      </w:r>
    </w:p>
    <w:p w14:paraId="2E8401C2" w14:textId="7EA55C79" w:rsidR="00134900" w:rsidRPr="009C50F8" w:rsidRDefault="00134900" w:rsidP="00EA02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20, 2024</w:t>
      </w:r>
    </w:p>
    <w:p w14:paraId="349F0D99" w14:textId="77777777" w:rsidR="00453FFD" w:rsidRDefault="00453FFD" w:rsidP="00EA023C">
      <w:pPr>
        <w:rPr>
          <w:sz w:val="28"/>
          <w:szCs w:val="28"/>
        </w:rPr>
      </w:pPr>
    </w:p>
    <w:p w14:paraId="13D9E3CA" w14:textId="7FD06C73" w:rsidR="00970608" w:rsidRPr="00632535" w:rsidRDefault="00970608" w:rsidP="00970608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1) </w:t>
      </w:r>
      <w:r w:rsidR="00EA023C" w:rsidRPr="00632535">
        <w:rPr>
          <w:sz w:val="24"/>
          <w:szCs w:val="24"/>
        </w:rPr>
        <w:t xml:space="preserve">When does the Sodexo Magic contract end? </w:t>
      </w:r>
    </w:p>
    <w:p w14:paraId="7178CF24" w14:textId="521BF092" w:rsidR="00EA023C" w:rsidRPr="00632535" w:rsidRDefault="009C50F8" w:rsidP="00970608">
      <w:pPr>
        <w:rPr>
          <w:sz w:val="24"/>
          <w:szCs w:val="24"/>
        </w:rPr>
      </w:pPr>
      <w:r w:rsidRPr="00632535">
        <w:rPr>
          <w:i/>
          <w:iCs/>
          <w:color w:val="0070C0"/>
          <w:sz w:val="24"/>
          <w:szCs w:val="24"/>
          <w:u w:val="single"/>
        </w:rPr>
        <w:t>Answer</w:t>
      </w:r>
      <w:r w:rsidR="00E853E4" w:rsidRPr="00632535">
        <w:rPr>
          <w:i/>
          <w:iCs/>
          <w:color w:val="0070C0"/>
          <w:sz w:val="24"/>
          <w:szCs w:val="24"/>
          <w:u w:val="single"/>
        </w:rPr>
        <w:t>:</w:t>
      </w:r>
      <w:r w:rsidR="00E853E4" w:rsidRPr="00632535">
        <w:rPr>
          <w:i/>
          <w:iCs/>
          <w:color w:val="0070C0"/>
          <w:sz w:val="24"/>
          <w:szCs w:val="24"/>
        </w:rPr>
        <w:tab/>
      </w:r>
      <w:r w:rsidR="006C1F64" w:rsidRPr="00632535">
        <w:rPr>
          <w:i/>
          <w:iCs/>
          <w:color w:val="0070C0"/>
          <w:sz w:val="24"/>
          <w:szCs w:val="24"/>
        </w:rPr>
        <w:t>August 31, 2028</w:t>
      </w:r>
    </w:p>
    <w:p w14:paraId="42AF8373" w14:textId="77777777" w:rsidR="00EA023C" w:rsidRPr="00632535" w:rsidRDefault="00EA023C" w:rsidP="00EA023C">
      <w:pPr>
        <w:rPr>
          <w:sz w:val="24"/>
          <w:szCs w:val="24"/>
        </w:rPr>
      </w:pPr>
    </w:p>
    <w:p w14:paraId="3112FF7B" w14:textId="0187BC2C" w:rsidR="009C50F8" w:rsidRPr="00632535" w:rsidRDefault="00EA023C" w:rsidP="00A73123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2) Please provide equipment details, including any equipment at the branch campuses to include: </w:t>
      </w:r>
    </w:p>
    <w:p w14:paraId="455D7D7B" w14:textId="77777777" w:rsidR="009C50F8" w:rsidRPr="00632535" w:rsidRDefault="009C50F8" w:rsidP="009C50F8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- Vending Equipment: </w:t>
      </w:r>
    </w:p>
    <w:p w14:paraId="2EA3B07A" w14:textId="77777777" w:rsidR="009C50F8" w:rsidRPr="00632535" w:rsidRDefault="009C50F8" w:rsidP="009C50F8">
      <w:pPr>
        <w:ind w:firstLine="720"/>
        <w:rPr>
          <w:sz w:val="24"/>
          <w:szCs w:val="24"/>
        </w:rPr>
      </w:pPr>
      <w:r w:rsidRPr="00632535">
        <w:rPr>
          <w:sz w:val="24"/>
          <w:szCs w:val="24"/>
        </w:rPr>
        <w:t>Number of vending machines by campus including branch campuses broken out by type?</w:t>
      </w:r>
    </w:p>
    <w:p w14:paraId="58B5F529" w14:textId="77777777" w:rsidR="009C50F8" w:rsidRPr="00632535" w:rsidRDefault="009C50F8" w:rsidP="009C50F8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- Fountain Equipment </w:t>
      </w:r>
    </w:p>
    <w:p w14:paraId="578B129D" w14:textId="77777777" w:rsidR="009C50F8" w:rsidRPr="00632535" w:rsidRDefault="009C50F8" w:rsidP="009C50F8">
      <w:pPr>
        <w:ind w:firstLine="720"/>
        <w:rPr>
          <w:sz w:val="24"/>
          <w:szCs w:val="24"/>
        </w:rPr>
      </w:pPr>
      <w:r w:rsidRPr="00632535">
        <w:rPr>
          <w:sz w:val="24"/>
          <w:szCs w:val="24"/>
        </w:rPr>
        <w:t xml:space="preserve"> By location on campus and by type (</w:t>
      </w:r>
      <w:proofErr w:type="spellStart"/>
      <w:r w:rsidRPr="00632535">
        <w:rPr>
          <w:sz w:val="24"/>
          <w:szCs w:val="24"/>
        </w:rPr>
        <w:t>i.e</w:t>
      </w:r>
      <w:proofErr w:type="spellEnd"/>
      <w:r w:rsidRPr="00632535">
        <w:rPr>
          <w:sz w:val="24"/>
          <w:szCs w:val="24"/>
        </w:rPr>
        <w:t xml:space="preserve"> 6 valve, 8 valve, </w:t>
      </w:r>
      <w:proofErr w:type="spellStart"/>
      <w:r w:rsidRPr="00632535">
        <w:rPr>
          <w:sz w:val="24"/>
          <w:szCs w:val="24"/>
        </w:rPr>
        <w:t>etc</w:t>
      </w:r>
      <w:proofErr w:type="spellEnd"/>
      <w:r w:rsidRPr="00632535">
        <w:rPr>
          <w:sz w:val="24"/>
          <w:szCs w:val="24"/>
        </w:rPr>
        <w:t>…)?</w:t>
      </w:r>
    </w:p>
    <w:p w14:paraId="0D560062" w14:textId="77777777" w:rsidR="009C50F8" w:rsidRPr="00632535" w:rsidRDefault="009C50F8" w:rsidP="009C50F8">
      <w:pPr>
        <w:rPr>
          <w:sz w:val="24"/>
          <w:szCs w:val="24"/>
        </w:rPr>
      </w:pPr>
      <w:r w:rsidRPr="00632535">
        <w:rPr>
          <w:sz w:val="24"/>
          <w:szCs w:val="24"/>
        </w:rPr>
        <w:t>- Cooler Equipment</w:t>
      </w:r>
    </w:p>
    <w:p w14:paraId="7AC20D5E" w14:textId="56B2EF9F" w:rsidR="009C50F8" w:rsidRPr="00632535" w:rsidRDefault="009C50F8" w:rsidP="00632535">
      <w:pPr>
        <w:ind w:firstLine="720"/>
        <w:rPr>
          <w:sz w:val="24"/>
          <w:szCs w:val="24"/>
        </w:rPr>
      </w:pPr>
      <w:r w:rsidRPr="00632535">
        <w:rPr>
          <w:sz w:val="24"/>
          <w:szCs w:val="24"/>
        </w:rPr>
        <w:t xml:space="preserve">By location on campus and by type (i.e. 2-door, single door, counter top, </w:t>
      </w:r>
      <w:proofErr w:type="spellStart"/>
      <w:r w:rsidRPr="00632535">
        <w:rPr>
          <w:sz w:val="24"/>
          <w:szCs w:val="24"/>
        </w:rPr>
        <w:t>etc</w:t>
      </w:r>
      <w:proofErr w:type="spellEnd"/>
      <w:r w:rsidRPr="00632535">
        <w:rPr>
          <w:sz w:val="24"/>
          <w:szCs w:val="24"/>
        </w:rPr>
        <w:t xml:space="preserve">…)? </w:t>
      </w:r>
    </w:p>
    <w:p w14:paraId="3C254AD2" w14:textId="3EC82D2C" w:rsidR="009C50F8" w:rsidRPr="00E853E4" w:rsidRDefault="00E853E4" w:rsidP="00A73123">
      <w:pPr>
        <w:rPr>
          <w:rFonts w:eastAsia="Times New Roman"/>
          <w:i/>
          <w:iCs/>
          <w:color w:val="0070C0"/>
          <w:sz w:val="24"/>
          <w:szCs w:val="24"/>
          <w:u w:val="single"/>
        </w:rPr>
      </w:pPr>
      <w:r w:rsidRPr="00E853E4">
        <w:rPr>
          <w:rFonts w:eastAsia="Times New Roman"/>
          <w:i/>
          <w:iCs/>
          <w:color w:val="0070C0"/>
          <w:sz w:val="24"/>
          <w:szCs w:val="24"/>
          <w:u w:val="single"/>
        </w:rPr>
        <w:t>Answer:</w:t>
      </w:r>
    </w:p>
    <w:p w14:paraId="7F327F67" w14:textId="02225F4C" w:rsidR="00A73123" w:rsidRPr="00E853E4" w:rsidRDefault="00A73123" w:rsidP="00A73123">
      <w:pPr>
        <w:rPr>
          <w:rFonts w:ascii="Aptos" w:eastAsia="Times New Roman" w:hAnsi="Aptos" w:cs="Aptos"/>
          <w:i/>
          <w:iCs/>
          <w:color w:val="0070C0"/>
          <w:sz w:val="24"/>
          <w:szCs w:val="24"/>
        </w:rPr>
      </w:pPr>
      <w:r w:rsidRPr="00E853E4">
        <w:rPr>
          <w:rFonts w:eastAsia="Times New Roman"/>
          <w:i/>
          <w:iCs/>
          <w:color w:val="0070C0"/>
          <w:sz w:val="24"/>
          <w:szCs w:val="24"/>
        </w:rPr>
        <w:t xml:space="preserve">The existing equipment is located throughout various parts of </w:t>
      </w:r>
      <w:r w:rsidR="00E853E4" w:rsidRPr="00E853E4">
        <w:rPr>
          <w:rFonts w:eastAsia="Times New Roman"/>
          <w:i/>
          <w:iCs/>
          <w:color w:val="0070C0"/>
          <w:sz w:val="24"/>
          <w:szCs w:val="24"/>
        </w:rPr>
        <w:t xml:space="preserve">the </w:t>
      </w:r>
      <w:r w:rsidRPr="00E853E4">
        <w:rPr>
          <w:rFonts w:eastAsia="Times New Roman"/>
          <w:i/>
          <w:iCs/>
          <w:color w:val="0070C0"/>
          <w:sz w:val="24"/>
          <w:szCs w:val="24"/>
        </w:rPr>
        <w:t>campus</w:t>
      </w:r>
      <w:r w:rsidR="00E853E4" w:rsidRPr="00E853E4">
        <w:rPr>
          <w:rFonts w:eastAsia="Times New Roman"/>
          <w:i/>
          <w:iCs/>
          <w:color w:val="0070C0"/>
          <w:sz w:val="24"/>
          <w:szCs w:val="24"/>
        </w:rPr>
        <w:t xml:space="preserve">es, which </w:t>
      </w:r>
      <w:r w:rsidRPr="00E853E4">
        <w:rPr>
          <w:rFonts w:eastAsia="Times New Roman"/>
          <w:i/>
          <w:iCs/>
          <w:color w:val="0070C0"/>
          <w:sz w:val="24"/>
          <w:szCs w:val="24"/>
        </w:rPr>
        <w:t>includes offices, concessions, dorms, and food services. </w:t>
      </w:r>
    </w:p>
    <w:p w14:paraId="0E0BDE9D" w14:textId="77777777" w:rsidR="00E853E4" w:rsidRPr="00E853E4" w:rsidRDefault="00E853E4" w:rsidP="00621BEB">
      <w:pPr>
        <w:rPr>
          <w:i/>
          <w:iCs/>
          <w:color w:val="0070C0"/>
          <w:sz w:val="24"/>
          <w:szCs w:val="24"/>
        </w:rPr>
      </w:pPr>
    </w:p>
    <w:p w14:paraId="2F8DE387" w14:textId="3186738E" w:rsidR="00621BEB" w:rsidRPr="00E853E4" w:rsidRDefault="00621BEB" w:rsidP="00621BEB">
      <w:pPr>
        <w:rPr>
          <w:i/>
          <w:iCs/>
          <w:color w:val="0070C0"/>
          <w:sz w:val="24"/>
          <w:szCs w:val="24"/>
        </w:rPr>
      </w:pPr>
      <w:bookmarkStart w:id="0" w:name="_Hlk161756849"/>
      <w:r w:rsidRPr="00E853E4">
        <w:rPr>
          <w:i/>
          <w:iCs/>
          <w:color w:val="0070C0"/>
          <w:sz w:val="24"/>
          <w:szCs w:val="24"/>
        </w:rPr>
        <w:t>ASU Main Campus</w:t>
      </w:r>
    </w:p>
    <w:p w14:paraId="715E8CB4" w14:textId="77777777" w:rsidR="00621BEB" w:rsidRPr="00E853E4" w:rsidRDefault="00621BEB" w:rsidP="00621BEB">
      <w:pPr>
        <w:pStyle w:val="ListParagraph"/>
        <w:numPr>
          <w:ilvl w:val="0"/>
          <w:numId w:val="10"/>
        </w:numPr>
        <w:rPr>
          <w:rFonts w:eastAsia="Times New Roman"/>
          <w:i/>
          <w:iCs/>
          <w:color w:val="0070C0"/>
          <w:sz w:val="24"/>
          <w:szCs w:val="24"/>
        </w:rPr>
      </w:pPr>
      <w:r w:rsidRPr="00E853E4">
        <w:rPr>
          <w:rFonts w:eastAsia="Times New Roman"/>
          <w:i/>
          <w:iCs/>
          <w:color w:val="0070C0"/>
          <w:sz w:val="24"/>
          <w:szCs w:val="24"/>
        </w:rPr>
        <w:t>55 coolers</w:t>
      </w:r>
    </w:p>
    <w:p w14:paraId="5348CD5A" w14:textId="77777777" w:rsidR="00621BEB" w:rsidRPr="00E853E4" w:rsidRDefault="00621BEB" w:rsidP="00621BEB">
      <w:pPr>
        <w:pStyle w:val="ListParagraph"/>
        <w:numPr>
          <w:ilvl w:val="0"/>
          <w:numId w:val="10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25 – beverage vending machines</w:t>
      </w:r>
    </w:p>
    <w:p w14:paraId="2AFAC831" w14:textId="77777777" w:rsidR="00621BEB" w:rsidRPr="00E853E4" w:rsidRDefault="00621BEB" w:rsidP="00621BEB">
      <w:pPr>
        <w:pStyle w:val="ListParagraph"/>
        <w:numPr>
          <w:ilvl w:val="0"/>
          <w:numId w:val="10"/>
        </w:numPr>
        <w:rPr>
          <w:rFonts w:eastAsia="Times New Roman"/>
          <w:i/>
          <w:iCs/>
          <w:color w:val="0070C0"/>
          <w:sz w:val="24"/>
          <w:szCs w:val="24"/>
        </w:rPr>
      </w:pPr>
      <w:r w:rsidRPr="00E853E4">
        <w:rPr>
          <w:rFonts w:eastAsia="Times New Roman"/>
          <w:i/>
          <w:iCs/>
          <w:color w:val="0070C0"/>
          <w:sz w:val="24"/>
          <w:szCs w:val="24"/>
        </w:rPr>
        <w:t>9 fountain units</w:t>
      </w:r>
    </w:p>
    <w:p w14:paraId="71DED91D" w14:textId="77777777" w:rsidR="00621BEB" w:rsidRPr="00E853E4" w:rsidRDefault="00621BEB" w:rsidP="00621BEB">
      <w:p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ASU Natchez Campus</w:t>
      </w:r>
    </w:p>
    <w:p w14:paraId="0D3C1B29" w14:textId="77777777" w:rsidR="00621BEB" w:rsidRPr="00E853E4" w:rsidRDefault="00621BEB" w:rsidP="00621BEB">
      <w:pPr>
        <w:pStyle w:val="ListParagraph"/>
        <w:numPr>
          <w:ilvl w:val="0"/>
          <w:numId w:val="9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3 - beverage vending machines at the School of Nursing</w:t>
      </w:r>
    </w:p>
    <w:p w14:paraId="55EA9D7B" w14:textId="77777777" w:rsidR="00621BEB" w:rsidRPr="00E853E4" w:rsidRDefault="00621BEB" w:rsidP="00621BEB">
      <w:pPr>
        <w:pStyle w:val="ListParagraph"/>
        <w:numPr>
          <w:ilvl w:val="0"/>
          <w:numId w:val="9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1 - beverage vending machine at the MBA building</w:t>
      </w:r>
    </w:p>
    <w:p w14:paraId="211E1C1A" w14:textId="2DD35AD3" w:rsidR="00621BEB" w:rsidRPr="00E853E4" w:rsidRDefault="00621BEB" w:rsidP="00F64B2A">
      <w:pPr>
        <w:pStyle w:val="ListParagraph"/>
        <w:numPr>
          <w:ilvl w:val="0"/>
          <w:numId w:val="9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1 - beverage vending machine at the Dormitory</w:t>
      </w:r>
    </w:p>
    <w:bookmarkEnd w:id="0"/>
    <w:p w14:paraId="441153C7" w14:textId="77777777" w:rsidR="00E853E4" w:rsidRDefault="00E853E4" w:rsidP="00486369">
      <w:pPr>
        <w:jc w:val="both"/>
        <w:rPr>
          <w:sz w:val="28"/>
          <w:szCs w:val="28"/>
        </w:rPr>
      </w:pPr>
    </w:p>
    <w:p w14:paraId="0AC06C7B" w14:textId="7867E035" w:rsidR="00486369" w:rsidRPr="00632535" w:rsidRDefault="00EA023C" w:rsidP="00486369">
      <w:pPr>
        <w:jc w:val="both"/>
        <w:rPr>
          <w:sz w:val="24"/>
          <w:szCs w:val="24"/>
        </w:rPr>
      </w:pPr>
      <w:r w:rsidRPr="00632535">
        <w:rPr>
          <w:sz w:val="24"/>
          <w:szCs w:val="24"/>
        </w:rPr>
        <w:t xml:space="preserve">3) RFP Section 1.2.1 does not include Energy drinks as Beverages defined. Are energy drinks included in this RFP? </w:t>
      </w:r>
    </w:p>
    <w:p w14:paraId="512089F1" w14:textId="1CD7F547" w:rsidR="00E853E4" w:rsidRPr="00632535" w:rsidRDefault="00E853E4" w:rsidP="00632535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- If no, please provide who has those rights and when does their contract end? </w:t>
      </w:r>
    </w:p>
    <w:p w14:paraId="09E0C65B" w14:textId="23FFB947" w:rsidR="00A13BE8" w:rsidRPr="00632535" w:rsidRDefault="00E853E4" w:rsidP="00E853E4">
      <w:pPr>
        <w:jc w:val="both"/>
        <w:rPr>
          <w:i/>
          <w:iCs/>
          <w:color w:val="0070C0"/>
          <w:sz w:val="24"/>
          <w:szCs w:val="24"/>
          <w:u w:val="single"/>
          <w:lang w:eastAsia="ja-JP"/>
        </w:rPr>
      </w:pPr>
      <w:r w:rsidRPr="00632535">
        <w:rPr>
          <w:i/>
          <w:iCs/>
          <w:color w:val="0070C0"/>
          <w:sz w:val="24"/>
          <w:szCs w:val="24"/>
          <w:u w:val="single"/>
          <w:lang w:eastAsia="ja-JP"/>
        </w:rPr>
        <w:t xml:space="preserve">Answer: </w:t>
      </w:r>
      <w:r w:rsidR="00486369" w:rsidRPr="00632535">
        <w:rPr>
          <w:i/>
          <w:iCs/>
          <w:color w:val="0070C0"/>
          <w:sz w:val="24"/>
          <w:szCs w:val="24"/>
          <w:lang w:eastAsia="ja-JP"/>
        </w:rPr>
        <w:t xml:space="preserve">The paragraph should include </w:t>
      </w:r>
      <w:r w:rsidR="00486369" w:rsidRPr="00632535">
        <w:rPr>
          <w:i/>
          <w:iCs/>
          <w:color w:val="0070C0"/>
          <w:sz w:val="24"/>
          <w:szCs w:val="24"/>
          <w:u w:val="single"/>
          <w:lang w:eastAsia="ja-JP"/>
        </w:rPr>
        <w:t>Energy Drinks</w:t>
      </w:r>
      <w:r w:rsidRPr="00632535">
        <w:rPr>
          <w:i/>
          <w:iCs/>
          <w:color w:val="0070C0"/>
          <w:sz w:val="24"/>
          <w:szCs w:val="24"/>
          <w:lang w:eastAsia="ja-JP"/>
        </w:rPr>
        <w:t xml:space="preserve"> </w:t>
      </w:r>
      <w:r w:rsidR="00486369" w:rsidRPr="00632535">
        <w:rPr>
          <w:i/>
          <w:iCs/>
          <w:color w:val="0070C0"/>
          <w:sz w:val="24"/>
          <w:szCs w:val="24"/>
          <w:lang w:eastAsia="ja-JP"/>
        </w:rPr>
        <w:t>.</w:t>
      </w:r>
    </w:p>
    <w:p w14:paraId="5DEEEED0" w14:textId="09049532" w:rsidR="00486369" w:rsidRPr="00632535" w:rsidRDefault="00486369" w:rsidP="00EA023C">
      <w:pPr>
        <w:rPr>
          <w:i/>
          <w:iCs/>
          <w:sz w:val="24"/>
          <w:szCs w:val="24"/>
        </w:rPr>
      </w:pPr>
    </w:p>
    <w:p w14:paraId="65FA38AF" w14:textId="6B9BB13C" w:rsidR="00B26276" w:rsidRPr="00E853E4" w:rsidRDefault="00B26276" w:rsidP="00EA023C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E853E4">
        <w:rPr>
          <w:i/>
          <w:iCs/>
          <w:color w:val="0070C0"/>
          <w:sz w:val="24"/>
          <w:szCs w:val="24"/>
          <w:lang w:eastAsia="ja-JP"/>
        </w:rPr>
        <w:t>Pouring Rights refers to the exclusive right to supply Beverages for resale at ASU and associated merchandising activities.</w:t>
      </w:r>
      <w:r w:rsidR="00621BEB" w:rsidRPr="00E853E4">
        <w:rPr>
          <w:i/>
          <w:iCs/>
          <w:color w:val="0070C0"/>
          <w:sz w:val="24"/>
          <w:szCs w:val="24"/>
          <w:lang w:eastAsia="ja-JP"/>
        </w:rPr>
        <w:t xml:space="preserve"> </w:t>
      </w:r>
      <w:r w:rsidRPr="00E853E4">
        <w:rPr>
          <w:i/>
          <w:iCs/>
          <w:color w:val="0070C0"/>
          <w:sz w:val="24"/>
          <w:szCs w:val="24"/>
          <w:lang w:eastAsia="ja-JP"/>
        </w:rPr>
        <w:t>“Beverages” are defined as carbonated and non-carbonated natural or artificially flavored non-alcoholic sodas, fruit juices (except non-carbonated fruit juices in dairy containers), cold teas, bottled water (in containers less than 1-gallon in size), sports drinks, cold packaged coffee drinks</w:t>
      </w:r>
      <w:r w:rsidR="00E853E4" w:rsidRPr="00E853E4">
        <w:rPr>
          <w:i/>
          <w:iCs/>
          <w:color w:val="0070C0"/>
          <w:sz w:val="24"/>
          <w:szCs w:val="24"/>
          <w:lang w:eastAsia="ja-JP"/>
        </w:rPr>
        <w:t xml:space="preserve"> </w:t>
      </w:r>
      <w:r w:rsidR="00E853E4" w:rsidRPr="00E853E4">
        <w:rPr>
          <w:i/>
          <w:iCs/>
          <w:color w:val="0070C0"/>
          <w:sz w:val="24"/>
          <w:szCs w:val="24"/>
          <w:u w:val="single"/>
          <w:lang w:eastAsia="ja-JP"/>
        </w:rPr>
        <w:t>and energy drinks.</w:t>
      </w:r>
      <w:r w:rsidR="005003F0" w:rsidRPr="00E853E4">
        <w:rPr>
          <w:i/>
          <w:iCs/>
          <w:color w:val="0070C0"/>
          <w:sz w:val="24"/>
          <w:szCs w:val="24"/>
          <w:lang w:eastAsia="ja-JP"/>
        </w:rPr>
        <w:t xml:space="preserve"> </w:t>
      </w:r>
      <w:r w:rsidR="005003F0" w:rsidRPr="00E853E4">
        <w:rPr>
          <w:sz w:val="28"/>
          <w:szCs w:val="28"/>
        </w:rPr>
        <w:t xml:space="preserve"> </w:t>
      </w:r>
    </w:p>
    <w:p w14:paraId="7472D4B8" w14:textId="77777777" w:rsidR="00EA023C" w:rsidRPr="00EB08EB" w:rsidRDefault="00EA023C" w:rsidP="00EA023C">
      <w:pPr>
        <w:rPr>
          <w:sz w:val="28"/>
          <w:szCs w:val="28"/>
        </w:rPr>
      </w:pPr>
    </w:p>
    <w:p w14:paraId="089E2467" w14:textId="062A1927" w:rsidR="00B26276" w:rsidRPr="00632535" w:rsidRDefault="00EA023C" w:rsidP="00632535">
      <w:pPr>
        <w:rPr>
          <w:color w:val="FF0000"/>
          <w:sz w:val="24"/>
          <w:szCs w:val="24"/>
          <w:u w:val="single"/>
          <w:lang w:eastAsia="ja-JP"/>
        </w:rPr>
      </w:pPr>
      <w:r w:rsidRPr="00632535">
        <w:rPr>
          <w:sz w:val="24"/>
          <w:szCs w:val="24"/>
        </w:rPr>
        <w:t xml:space="preserve">4) RFP Section 1.2.3.3 states Contractor will provide cups, container lids, and CO2. Please provide: </w:t>
      </w:r>
    </w:p>
    <w:p w14:paraId="5FAF14A7" w14:textId="77777777" w:rsidR="00EA023C" w:rsidRPr="00632535" w:rsidRDefault="00EA023C" w:rsidP="00EA023C">
      <w:pPr>
        <w:rPr>
          <w:sz w:val="24"/>
          <w:szCs w:val="24"/>
        </w:rPr>
      </w:pPr>
      <w:bookmarkStart w:id="1" w:name="_Hlk161230715"/>
      <w:r w:rsidRPr="00632535">
        <w:rPr>
          <w:sz w:val="24"/>
          <w:szCs w:val="24"/>
        </w:rPr>
        <w:t xml:space="preserve">- Sizes of cups Sodexo Magic purchases today? </w:t>
      </w:r>
    </w:p>
    <w:bookmarkEnd w:id="1"/>
    <w:p w14:paraId="6852F8FD" w14:textId="4210E9BF" w:rsidR="00E51616" w:rsidRPr="00632535" w:rsidRDefault="00632535" w:rsidP="00632535">
      <w:pPr>
        <w:rPr>
          <w:i/>
          <w:iCs/>
          <w:color w:val="0070C0"/>
          <w:sz w:val="24"/>
          <w:szCs w:val="24"/>
        </w:rPr>
      </w:pPr>
      <w:r w:rsidRPr="00632535">
        <w:rPr>
          <w:i/>
          <w:iCs/>
          <w:color w:val="0070C0"/>
          <w:sz w:val="24"/>
          <w:szCs w:val="24"/>
          <w:u w:val="single"/>
        </w:rPr>
        <w:t>Answer:</w:t>
      </w:r>
      <w:r w:rsidRPr="00632535">
        <w:rPr>
          <w:i/>
          <w:iCs/>
          <w:color w:val="0070C0"/>
          <w:sz w:val="24"/>
          <w:szCs w:val="24"/>
        </w:rPr>
        <w:tab/>
      </w:r>
      <w:r w:rsidR="00E51616" w:rsidRPr="00632535">
        <w:rPr>
          <w:i/>
          <w:iCs/>
          <w:color w:val="0070C0"/>
          <w:sz w:val="24"/>
          <w:szCs w:val="24"/>
        </w:rPr>
        <w:t xml:space="preserve">16 oz. cups </w:t>
      </w:r>
    </w:p>
    <w:p w14:paraId="7812C885" w14:textId="77777777" w:rsidR="00632535" w:rsidRDefault="00632535" w:rsidP="00EA023C">
      <w:pPr>
        <w:rPr>
          <w:sz w:val="24"/>
          <w:szCs w:val="24"/>
        </w:rPr>
      </w:pPr>
      <w:bookmarkStart w:id="2" w:name="_Hlk161230735"/>
    </w:p>
    <w:p w14:paraId="482FEC61" w14:textId="7C418185" w:rsidR="00E51616" w:rsidRPr="00632535" w:rsidRDefault="00EA023C" w:rsidP="00EA023C">
      <w:pPr>
        <w:rPr>
          <w:sz w:val="24"/>
          <w:szCs w:val="24"/>
        </w:rPr>
      </w:pPr>
      <w:r w:rsidRPr="00632535">
        <w:rPr>
          <w:sz w:val="24"/>
          <w:szCs w:val="24"/>
        </w:rPr>
        <w:t>- How many cases of each size does Sodexo Magic purchase during a school year?</w:t>
      </w:r>
      <w:bookmarkEnd w:id="2"/>
    </w:p>
    <w:p w14:paraId="5AB83B49" w14:textId="5B6FA950" w:rsidR="00EA023C" w:rsidRPr="00632535" w:rsidRDefault="00632535" w:rsidP="00632535">
      <w:pPr>
        <w:rPr>
          <w:i/>
          <w:iCs/>
          <w:color w:val="0070C0"/>
          <w:sz w:val="24"/>
          <w:szCs w:val="24"/>
        </w:rPr>
      </w:pPr>
      <w:r w:rsidRPr="00632535">
        <w:rPr>
          <w:i/>
          <w:iCs/>
          <w:color w:val="0070C0"/>
          <w:sz w:val="24"/>
          <w:szCs w:val="24"/>
          <w:u w:val="single"/>
        </w:rPr>
        <w:t>Answer:</w:t>
      </w:r>
      <w:r w:rsidRPr="00632535">
        <w:rPr>
          <w:i/>
          <w:iCs/>
          <w:color w:val="0070C0"/>
          <w:sz w:val="24"/>
          <w:szCs w:val="24"/>
        </w:rPr>
        <w:tab/>
      </w:r>
      <w:r w:rsidR="00486369" w:rsidRPr="00632535">
        <w:rPr>
          <w:i/>
          <w:iCs/>
          <w:color w:val="0070C0"/>
          <w:sz w:val="24"/>
          <w:szCs w:val="24"/>
        </w:rPr>
        <w:t>230 cases (500 cups per case)</w:t>
      </w:r>
    </w:p>
    <w:p w14:paraId="68C73995" w14:textId="77777777" w:rsidR="00EA023C" w:rsidRPr="00EB08EB" w:rsidRDefault="00EA023C" w:rsidP="00EA023C">
      <w:pPr>
        <w:rPr>
          <w:sz w:val="28"/>
          <w:szCs w:val="28"/>
        </w:rPr>
      </w:pPr>
    </w:p>
    <w:p w14:paraId="4A006EDD" w14:textId="08FD961B" w:rsidR="00A13BE8" w:rsidRPr="00632535" w:rsidRDefault="00EA023C" w:rsidP="00632535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5) RFP Section 1.2.9 ~ there is no volume data on Attachment D. Please provide the following data: </w:t>
      </w:r>
    </w:p>
    <w:p w14:paraId="1210BFC9" w14:textId="77777777" w:rsidR="00EA023C" w:rsidRPr="00632535" w:rsidRDefault="00EA023C" w:rsidP="00EA023C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- Fountain volume for last 2 school years IN GALLONS broken out by location, brand, package. </w:t>
      </w:r>
    </w:p>
    <w:p w14:paraId="279A2B02" w14:textId="77777777" w:rsidR="00EA023C" w:rsidRPr="00632535" w:rsidRDefault="00EA023C" w:rsidP="00EA023C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- Vending volume for last 2 school years IN CASES broken out by brand/ package. </w:t>
      </w:r>
    </w:p>
    <w:p w14:paraId="5DA667E5" w14:textId="4F07DD23" w:rsidR="00EA023C" w:rsidRPr="00632535" w:rsidRDefault="00EA023C" w:rsidP="00EA023C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- Cooler volume for all locations for last 2 school years IN CASES broken out by location, brand, package. </w:t>
      </w:r>
    </w:p>
    <w:p w14:paraId="382A4CB9" w14:textId="7BBB7661" w:rsidR="00EA023C" w:rsidRPr="00632535" w:rsidRDefault="00EA023C" w:rsidP="00EA023C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*Please confirm the vending volume in the attachment that was sent on 3/5/24 as it seems low for the size of the campus. </w:t>
      </w:r>
    </w:p>
    <w:p w14:paraId="49CE28AD" w14:textId="77777777" w:rsidR="00EA023C" w:rsidRPr="00632535" w:rsidRDefault="00EA023C" w:rsidP="00EA023C">
      <w:pPr>
        <w:rPr>
          <w:sz w:val="24"/>
          <w:szCs w:val="24"/>
        </w:rPr>
      </w:pPr>
      <w:r w:rsidRPr="00632535">
        <w:rPr>
          <w:sz w:val="24"/>
          <w:szCs w:val="24"/>
        </w:rPr>
        <w:t xml:space="preserve">**PLEASE DO NOT PROVIDE $$ SALES VOLUME AS IT WILL HINDER OUR ABILITY TO RESPOND TO THE RFP. YOUR CURRENT BEVERAGE PARTNER CAN PROVIDE VOLUME IN CASES AND GALLONS EASILY** </w:t>
      </w:r>
    </w:p>
    <w:p w14:paraId="49B9ECDE" w14:textId="7BEE90ED" w:rsidR="00632535" w:rsidRPr="00632535" w:rsidRDefault="00632535" w:rsidP="00632535">
      <w:pPr>
        <w:rPr>
          <w:i/>
          <w:iCs/>
          <w:sz w:val="24"/>
          <w:szCs w:val="24"/>
        </w:rPr>
      </w:pPr>
      <w:r w:rsidRPr="00632535">
        <w:rPr>
          <w:i/>
          <w:iCs/>
          <w:color w:val="0070C0"/>
          <w:sz w:val="24"/>
          <w:szCs w:val="24"/>
          <w:u w:val="single"/>
        </w:rPr>
        <w:t>Answer:</w:t>
      </w:r>
      <w:r w:rsidRPr="00632535">
        <w:rPr>
          <w:i/>
          <w:iCs/>
          <w:color w:val="0070C0"/>
          <w:sz w:val="24"/>
          <w:szCs w:val="24"/>
        </w:rPr>
        <w:t xml:space="preserve"> see the Chart </w:t>
      </w:r>
      <w:r w:rsidRPr="00632535">
        <w:rPr>
          <w:rFonts w:eastAsia="Times New Roman"/>
          <w:i/>
          <w:iCs/>
          <w:color w:val="0070C0"/>
          <w:sz w:val="24"/>
          <w:szCs w:val="24"/>
        </w:rPr>
        <w:t>Total Sales in a 12-month period</w:t>
      </w:r>
      <w:r w:rsidRPr="00632535">
        <w:rPr>
          <w:i/>
          <w:iCs/>
          <w:color w:val="0070C0"/>
          <w:sz w:val="24"/>
          <w:szCs w:val="24"/>
        </w:rPr>
        <w:t xml:space="preserve"> below for volume:</w:t>
      </w:r>
    </w:p>
    <w:p w14:paraId="314182A6" w14:textId="77777777" w:rsidR="00B31B45" w:rsidRDefault="00B31B45" w:rsidP="00EA023C">
      <w:pPr>
        <w:rPr>
          <w:sz w:val="28"/>
          <w:szCs w:val="28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6320"/>
        <w:gridCol w:w="1760"/>
        <w:gridCol w:w="1240"/>
      </w:tblGrid>
      <w:tr w:rsidR="00486369" w:rsidRPr="00486369" w14:paraId="435F501A" w14:textId="77777777" w:rsidTr="00B31B45">
        <w:trPr>
          <w:trHeight w:val="288"/>
        </w:trPr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D5F7" w14:textId="3F25ACC1" w:rsidR="00B31B45" w:rsidRPr="00486369" w:rsidRDefault="00B31B45" w:rsidP="00B31B45">
            <w:pPr>
              <w:jc w:val="center"/>
              <w:rPr>
                <w:rFonts w:eastAsia="Times New Roman"/>
                <w:b/>
                <w:bCs/>
                <w:color w:val="0070C0"/>
              </w:rPr>
            </w:pPr>
            <w:r w:rsidRPr="00486369">
              <w:rPr>
                <w:rFonts w:eastAsia="Times New Roman"/>
                <w:b/>
                <w:bCs/>
                <w:color w:val="0070C0"/>
              </w:rPr>
              <w:t>Total Sales in a 12-month Period</w:t>
            </w:r>
            <w:r w:rsidR="0036158E">
              <w:rPr>
                <w:rFonts w:eastAsia="Times New Roman"/>
                <w:b/>
                <w:bCs/>
                <w:color w:val="0070C0"/>
              </w:rPr>
              <w:t xml:space="preserve"> FY 2022 - 2023</w:t>
            </w:r>
          </w:p>
        </w:tc>
      </w:tr>
      <w:tr w:rsidR="00486369" w:rsidRPr="00486369" w14:paraId="4D87FE3D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3A90DA73" w14:textId="77777777" w:rsidR="00B31B45" w:rsidRPr="0036158E" w:rsidRDefault="00B31B45" w:rsidP="00B31B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6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Location: Function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621941EC" w14:textId="77777777" w:rsidR="00B31B45" w:rsidRPr="0036158E" w:rsidRDefault="00B31B45" w:rsidP="00B31B45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 w:rsidRPr="0036158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E02D3E5" w14:textId="77777777" w:rsidR="00B31B45" w:rsidRPr="0036158E" w:rsidRDefault="00B31B45" w:rsidP="00B31B45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 w:rsidRPr="0036158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Volume</w:t>
            </w:r>
          </w:p>
        </w:tc>
      </w:tr>
      <w:tr w:rsidR="00486369" w:rsidRPr="00486369" w14:paraId="60B4AB36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259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 xml:space="preserve">Athletics/Weight Room: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4883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D747" w14:textId="77777777" w:rsidR="00B31B45" w:rsidRPr="00486369" w:rsidRDefault="00B31B45" w:rsidP="00B31B45">
            <w:pPr>
              <w:rPr>
                <w:rFonts w:eastAsia="Times New Roman"/>
                <w:color w:val="0070C0"/>
                <w:sz w:val="24"/>
                <w:szCs w:val="24"/>
              </w:rPr>
            </w:pPr>
            <w:r w:rsidRPr="00486369">
              <w:rPr>
                <w:rFonts w:eastAsia="Times New Roman"/>
                <w:color w:val="0070C0"/>
                <w:sz w:val="24"/>
                <w:szCs w:val="24"/>
              </w:rPr>
              <w:t>Cases</w:t>
            </w:r>
          </w:p>
        </w:tc>
      </w:tr>
      <w:tr w:rsidR="00486369" w:rsidRPr="00486369" w14:paraId="418B0CBF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3087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 xml:space="preserve">Athletic Concessions: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72D2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2F1" w14:textId="77777777" w:rsidR="00B31B45" w:rsidRPr="00486369" w:rsidRDefault="00B31B45" w:rsidP="00B31B45">
            <w:pPr>
              <w:rPr>
                <w:rFonts w:eastAsia="Times New Roman"/>
                <w:color w:val="0070C0"/>
                <w:sz w:val="24"/>
                <w:szCs w:val="24"/>
              </w:rPr>
            </w:pPr>
            <w:r w:rsidRPr="00486369">
              <w:rPr>
                <w:rFonts w:eastAsia="Times New Roman"/>
                <w:color w:val="0070C0"/>
                <w:sz w:val="24"/>
                <w:szCs w:val="24"/>
              </w:rPr>
              <w:t>Cases</w:t>
            </w:r>
          </w:p>
        </w:tc>
      </w:tr>
      <w:tr w:rsidR="00486369" w:rsidRPr="00486369" w14:paraId="3A689476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C306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 xml:space="preserve">Cafeteria: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632B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2401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45FA" w14:textId="77777777" w:rsidR="00B31B45" w:rsidRPr="00486369" w:rsidRDefault="00B31B45" w:rsidP="00B31B45">
            <w:pPr>
              <w:rPr>
                <w:rFonts w:eastAsia="Times New Roman"/>
                <w:color w:val="0070C0"/>
                <w:sz w:val="24"/>
                <w:szCs w:val="24"/>
              </w:rPr>
            </w:pPr>
            <w:r w:rsidRPr="00486369">
              <w:rPr>
                <w:rFonts w:eastAsia="Times New Roman"/>
                <w:color w:val="0070C0"/>
                <w:sz w:val="24"/>
                <w:szCs w:val="24"/>
              </w:rPr>
              <w:t>Cases</w:t>
            </w:r>
          </w:p>
        </w:tc>
      </w:tr>
      <w:tr w:rsidR="00486369" w:rsidRPr="00486369" w14:paraId="41BDBD21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A75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 xml:space="preserve">Cafeteria: Fountain Gallons Traditional and Free Style: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514D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FF45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Gallons</w:t>
            </w:r>
          </w:p>
        </w:tc>
      </w:tr>
      <w:tr w:rsidR="00486369" w:rsidRPr="00486369" w14:paraId="7E90E6ED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445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 xml:space="preserve"> Alcorn Service Station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7745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617E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Cases</w:t>
            </w:r>
          </w:p>
        </w:tc>
      </w:tr>
      <w:tr w:rsidR="00486369" w:rsidRPr="00486369" w14:paraId="231CBA93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0F3B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 xml:space="preserve">Follett Book Store: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0B19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8E8E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Cases</w:t>
            </w:r>
          </w:p>
        </w:tc>
      </w:tr>
      <w:tr w:rsidR="00486369" w:rsidRPr="00486369" w14:paraId="4B163F2F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CD7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 xml:space="preserve">Alcorn St. Adm. Office: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69DD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213F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Cases</w:t>
            </w:r>
          </w:p>
        </w:tc>
      </w:tr>
      <w:tr w:rsidR="00486369" w:rsidRPr="00486369" w14:paraId="3500CB7C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CAFD" w14:textId="77777777" w:rsidR="00B31B45" w:rsidRPr="00486369" w:rsidRDefault="00B31B45" w:rsidP="00B31B45">
            <w:pPr>
              <w:rPr>
                <w:rFonts w:ascii="Aptos" w:eastAsia="Times New Roman" w:hAnsi="Aptos"/>
                <w:color w:val="0070C0"/>
                <w:sz w:val="24"/>
                <w:szCs w:val="24"/>
              </w:rPr>
            </w:pPr>
            <w:r w:rsidRPr="00486369">
              <w:rPr>
                <w:rFonts w:ascii="Aptos" w:eastAsia="Times New Roman" w:hAnsi="Aptos"/>
                <w:color w:val="0070C0"/>
                <w:sz w:val="24"/>
                <w:szCs w:val="24"/>
              </w:rPr>
              <w:t>Full-Service Vending: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0861" w14:textId="77777777" w:rsidR="00B31B45" w:rsidRPr="00486369" w:rsidRDefault="00B31B45" w:rsidP="00B31B45">
            <w:pPr>
              <w:jc w:val="right"/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3B1F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Cases</w:t>
            </w:r>
          </w:p>
        </w:tc>
      </w:tr>
      <w:tr w:rsidR="00486369" w:rsidRPr="00486369" w14:paraId="0FE15B53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28DD" w14:textId="77777777" w:rsidR="00B31B45" w:rsidRPr="00486369" w:rsidRDefault="00B31B45" w:rsidP="00B31B45">
            <w:pPr>
              <w:rPr>
                <w:rFonts w:eastAsia="Times New Roman"/>
                <w:color w:val="0070C0"/>
                <w:sz w:val="24"/>
                <w:szCs w:val="24"/>
              </w:rPr>
            </w:pPr>
            <w:r w:rsidRPr="00486369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97CD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7482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 </w:t>
            </w:r>
          </w:p>
        </w:tc>
      </w:tr>
      <w:tr w:rsidR="00486369" w:rsidRPr="00486369" w14:paraId="4A4FFF16" w14:textId="77777777" w:rsidTr="00B31B45">
        <w:trPr>
          <w:trHeight w:val="3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2630" w14:textId="77777777" w:rsidR="00B31B45" w:rsidRPr="00486369" w:rsidRDefault="00B31B45" w:rsidP="00B31B45">
            <w:pPr>
              <w:rPr>
                <w:rFonts w:eastAsia="Times New Roman"/>
                <w:color w:val="0070C0"/>
                <w:sz w:val="24"/>
                <w:szCs w:val="24"/>
              </w:rPr>
            </w:pPr>
            <w:r w:rsidRPr="00486369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F1A0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806F" w14:textId="77777777" w:rsidR="00B31B45" w:rsidRPr="00486369" w:rsidRDefault="00B31B45" w:rsidP="00B31B45">
            <w:pPr>
              <w:rPr>
                <w:rFonts w:eastAsia="Times New Roman"/>
                <w:color w:val="0070C0"/>
              </w:rPr>
            </w:pPr>
            <w:r w:rsidRPr="00486369">
              <w:rPr>
                <w:rFonts w:eastAsia="Times New Roman"/>
                <w:color w:val="0070C0"/>
              </w:rPr>
              <w:t> </w:t>
            </w:r>
          </w:p>
        </w:tc>
      </w:tr>
    </w:tbl>
    <w:p w14:paraId="19057E88" w14:textId="77777777" w:rsidR="00B31B45" w:rsidRDefault="00B31B45" w:rsidP="00EA023C">
      <w:pPr>
        <w:rPr>
          <w:sz w:val="28"/>
          <w:szCs w:val="28"/>
        </w:rPr>
      </w:pPr>
    </w:p>
    <w:p w14:paraId="04FB5C07" w14:textId="77777777" w:rsidR="00EA023C" w:rsidRPr="00EB08EB" w:rsidRDefault="00EA023C" w:rsidP="00EA023C">
      <w:pPr>
        <w:rPr>
          <w:sz w:val="28"/>
          <w:szCs w:val="28"/>
        </w:rPr>
      </w:pPr>
    </w:p>
    <w:p w14:paraId="3FC41BBE" w14:textId="2610791F" w:rsidR="005A3DA0" w:rsidRPr="0036158E" w:rsidRDefault="00EA023C" w:rsidP="005A3DA0">
      <w:pPr>
        <w:rPr>
          <w:color w:val="A02B93" w:themeColor="accent5"/>
          <w:sz w:val="24"/>
          <w:szCs w:val="24"/>
        </w:rPr>
      </w:pPr>
      <w:r w:rsidRPr="0036158E">
        <w:rPr>
          <w:sz w:val="24"/>
          <w:szCs w:val="24"/>
        </w:rPr>
        <w:t>6) RFP Section 1.2.10 – can the university provide more clarity around what this section means by “assign its Contract rights to one or more auxiliary enterprise corporations…”?</w:t>
      </w:r>
      <w:r w:rsidR="00F64B2A" w:rsidRPr="0036158E">
        <w:rPr>
          <w:sz w:val="24"/>
          <w:szCs w:val="24"/>
        </w:rPr>
        <w:t xml:space="preserve"> </w:t>
      </w:r>
    </w:p>
    <w:p w14:paraId="5B73D8A4" w14:textId="3F7A9955" w:rsidR="005A3DA0" w:rsidRPr="0036158E" w:rsidRDefault="0036158E" w:rsidP="005A3DA0">
      <w:pPr>
        <w:rPr>
          <w:i/>
          <w:iCs/>
          <w:color w:val="0070C0"/>
          <w:sz w:val="28"/>
          <w:szCs w:val="28"/>
        </w:rPr>
      </w:pPr>
      <w:r w:rsidRPr="0036158E">
        <w:rPr>
          <w:i/>
          <w:iCs/>
          <w:color w:val="0070C0"/>
          <w:sz w:val="24"/>
          <w:szCs w:val="24"/>
          <w:u w:val="single"/>
        </w:rPr>
        <w:t>Answer:</w:t>
      </w:r>
      <w:r w:rsidRPr="0036158E">
        <w:rPr>
          <w:i/>
          <w:iCs/>
          <w:color w:val="0070C0"/>
          <w:sz w:val="24"/>
          <w:szCs w:val="24"/>
        </w:rPr>
        <w:t xml:space="preserve"> </w:t>
      </w:r>
      <w:r w:rsidR="005A3DA0" w:rsidRPr="0036158E">
        <w:rPr>
          <w:i/>
          <w:iCs/>
          <w:color w:val="0070C0"/>
          <w:sz w:val="24"/>
          <w:szCs w:val="24"/>
        </w:rPr>
        <w:t>Remove section 1.2.10. paragraph on page 7 to i</w:t>
      </w:r>
      <w:r>
        <w:rPr>
          <w:i/>
          <w:iCs/>
          <w:color w:val="0070C0"/>
          <w:sz w:val="24"/>
          <w:szCs w:val="24"/>
        </w:rPr>
        <w:t>t</w:t>
      </w:r>
      <w:r w:rsidR="005A3DA0" w:rsidRPr="0036158E">
        <w:rPr>
          <w:i/>
          <w:iCs/>
          <w:color w:val="0070C0"/>
          <w:sz w:val="24"/>
          <w:szCs w:val="24"/>
        </w:rPr>
        <w:t>s entirety from the RFP.</w:t>
      </w:r>
      <w:r w:rsidR="005A3DA0" w:rsidRPr="0036158E">
        <w:rPr>
          <w:i/>
          <w:iCs/>
          <w:color w:val="0070C0"/>
          <w:sz w:val="28"/>
          <w:szCs w:val="28"/>
        </w:rPr>
        <w:t xml:space="preserve">  </w:t>
      </w:r>
    </w:p>
    <w:p w14:paraId="1A82E59A" w14:textId="77777777" w:rsidR="00EA023C" w:rsidRPr="00EB08EB" w:rsidRDefault="00EA023C" w:rsidP="00EA023C">
      <w:pPr>
        <w:rPr>
          <w:sz w:val="28"/>
          <w:szCs w:val="28"/>
        </w:rPr>
      </w:pPr>
    </w:p>
    <w:p w14:paraId="7332B44B" w14:textId="16C152D7" w:rsidR="00AA3628" w:rsidRPr="0036158E" w:rsidRDefault="00EA023C" w:rsidP="00EA023C">
      <w:pPr>
        <w:rPr>
          <w:sz w:val="24"/>
          <w:szCs w:val="24"/>
        </w:rPr>
      </w:pPr>
      <w:r w:rsidRPr="0036158E">
        <w:rPr>
          <w:sz w:val="24"/>
          <w:szCs w:val="24"/>
        </w:rPr>
        <w:t xml:space="preserve">7) RFP Section 3.3 Part 1: Technical, Financial and Management Proposal – states “Identifying Information CANNOT be contained in the technical or financial proposals of the RFP”. </w:t>
      </w:r>
      <w:r w:rsidR="006C1F64" w:rsidRPr="0036158E">
        <w:rPr>
          <w:sz w:val="24"/>
          <w:szCs w:val="24"/>
        </w:rPr>
        <w:t xml:space="preserve"> However,</w:t>
      </w:r>
      <w:r w:rsidRPr="0036158E">
        <w:rPr>
          <w:sz w:val="24"/>
          <w:szCs w:val="24"/>
        </w:rPr>
        <w:t xml:space="preserve"> the information requested by the contractor to provide in Part 1 will include identifying information if we are to respond appropriately to each item requested in this section. One example would be 3.3.3.1 – list out the Beverages we would propose will provide an Identifying information in this section (i.e. 20oz Pepsi). Can this statement be removed? </w:t>
      </w:r>
    </w:p>
    <w:p w14:paraId="6BC9D1A5" w14:textId="38D4CA28" w:rsidR="00F64B2A" w:rsidRPr="0036158E" w:rsidRDefault="0036158E" w:rsidP="00F64B2A">
      <w:pPr>
        <w:pStyle w:val="BulletList"/>
        <w:spacing w:before="0"/>
        <w:ind w:left="0" w:firstLine="0"/>
        <w:rPr>
          <w:rFonts w:ascii="Calibri" w:hAnsi="Calibri" w:cs="Calibri"/>
          <w:i/>
          <w:iCs/>
          <w:color w:val="FF0000"/>
          <w:szCs w:val="24"/>
        </w:rPr>
      </w:pPr>
      <w:r w:rsidRPr="00453FFD">
        <w:rPr>
          <w:rFonts w:ascii="Calibri" w:hAnsi="Calibri" w:cs="Calibri"/>
          <w:i/>
          <w:iCs/>
          <w:color w:val="0070C0"/>
          <w:szCs w:val="24"/>
          <w:u w:val="single"/>
        </w:rPr>
        <w:t>Answer:</w:t>
      </w:r>
      <w:r w:rsidRPr="00453FFD">
        <w:rPr>
          <w:rFonts w:ascii="Calibri" w:hAnsi="Calibri" w:cs="Calibri"/>
          <w:i/>
          <w:iCs/>
          <w:color w:val="0070C0"/>
          <w:szCs w:val="24"/>
        </w:rPr>
        <w:t xml:space="preserve"> Remove</w:t>
      </w:r>
      <w:r w:rsidR="00AA3628" w:rsidRPr="00453FFD">
        <w:rPr>
          <w:rFonts w:ascii="Calibri" w:hAnsi="Calibri" w:cs="Calibri"/>
          <w:i/>
          <w:iCs/>
          <w:color w:val="0070C0"/>
          <w:szCs w:val="24"/>
        </w:rPr>
        <w:t xml:space="preserve"> the following statement from section 3.3 on page 12 of Part 1</w:t>
      </w:r>
      <w:r w:rsidRPr="00453FFD">
        <w:rPr>
          <w:rFonts w:ascii="Calibri" w:hAnsi="Calibri" w:cs="Calibri"/>
          <w:i/>
          <w:iCs/>
          <w:color w:val="0070C0"/>
          <w:szCs w:val="24"/>
        </w:rPr>
        <w:t>:</w:t>
      </w:r>
      <w:r w:rsidR="00AA3628" w:rsidRPr="00453FFD">
        <w:rPr>
          <w:rFonts w:ascii="Calibri" w:hAnsi="Calibri" w:cs="Calibri"/>
          <w:i/>
          <w:iCs/>
          <w:color w:val="0070C0"/>
          <w:szCs w:val="24"/>
        </w:rPr>
        <w:t xml:space="preserve"> “Identifying Information CANNOT be contained in the technical or financial proposals of the RFP.”</w:t>
      </w:r>
    </w:p>
    <w:p w14:paraId="24715FBA" w14:textId="77777777" w:rsidR="0036158E" w:rsidRDefault="0036158E" w:rsidP="00EA023C">
      <w:pPr>
        <w:rPr>
          <w:color w:val="FF0000"/>
          <w:sz w:val="24"/>
          <w:szCs w:val="24"/>
        </w:rPr>
      </w:pPr>
    </w:p>
    <w:p w14:paraId="17FE1C12" w14:textId="77777777" w:rsidR="00EA023C" w:rsidRPr="00EB08EB" w:rsidRDefault="00EA023C" w:rsidP="00EA023C">
      <w:pPr>
        <w:rPr>
          <w:sz w:val="28"/>
          <w:szCs w:val="28"/>
        </w:rPr>
      </w:pPr>
    </w:p>
    <w:p w14:paraId="483D7DB1" w14:textId="621D3C43" w:rsidR="00AA3628" w:rsidRPr="0036158E" w:rsidRDefault="00EA023C" w:rsidP="00EA023C">
      <w:pPr>
        <w:rPr>
          <w:i/>
          <w:iCs/>
          <w:sz w:val="24"/>
          <w:szCs w:val="24"/>
        </w:rPr>
      </w:pPr>
      <w:r w:rsidRPr="0036158E">
        <w:rPr>
          <w:i/>
          <w:iCs/>
          <w:sz w:val="24"/>
          <w:szCs w:val="24"/>
        </w:rPr>
        <w:t xml:space="preserve">8) RFP Section 3.3.10 references a (see Section 1.3.8) for Specialty Products but there is no 1.3.8 in this RFP. Please clarify. </w:t>
      </w:r>
    </w:p>
    <w:p w14:paraId="2EF9F53B" w14:textId="36FD91F2" w:rsidR="00AA3628" w:rsidRPr="0036158E" w:rsidRDefault="0036158E" w:rsidP="00EA023C">
      <w:pPr>
        <w:rPr>
          <w:i/>
          <w:iCs/>
          <w:color w:val="0070C0"/>
          <w:sz w:val="24"/>
          <w:szCs w:val="24"/>
        </w:rPr>
      </w:pPr>
      <w:r w:rsidRPr="008C769D">
        <w:rPr>
          <w:i/>
          <w:iCs/>
          <w:color w:val="0070C0"/>
          <w:sz w:val="24"/>
          <w:szCs w:val="24"/>
          <w:u w:val="single"/>
        </w:rPr>
        <w:t>Answer:</w:t>
      </w:r>
      <w:r w:rsidRPr="0036158E">
        <w:rPr>
          <w:i/>
          <w:iCs/>
          <w:color w:val="0070C0"/>
          <w:sz w:val="24"/>
          <w:szCs w:val="24"/>
        </w:rPr>
        <w:t xml:space="preserve"> Remove</w:t>
      </w:r>
      <w:r w:rsidR="00AA3628" w:rsidRPr="0036158E">
        <w:rPr>
          <w:i/>
          <w:iCs/>
          <w:color w:val="0070C0"/>
          <w:sz w:val="24"/>
          <w:szCs w:val="24"/>
        </w:rPr>
        <w:t xml:space="preserve"> the following statement </w:t>
      </w:r>
      <w:r w:rsidR="000E258F" w:rsidRPr="0036158E">
        <w:rPr>
          <w:i/>
          <w:iCs/>
          <w:color w:val="0070C0"/>
          <w:sz w:val="24"/>
          <w:szCs w:val="24"/>
        </w:rPr>
        <w:t>from section 3.3.10 on page 15</w:t>
      </w:r>
      <w:r w:rsidRPr="0036158E">
        <w:rPr>
          <w:i/>
          <w:iCs/>
          <w:color w:val="0070C0"/>
          <w:sz w:val="24"/>
          <w:szCs w:val="24"/>
        </w:rPr>
        <w:t xml:space="preserve">: </w:t>
      </w:r>
      <w:r w:rsidR="000E258F" w:rsidRPr="0036158E">
        <w:rPr>
          <w:i/>
          <w:iCs/>
          <w:color w:val="0070C0"/>
          <w:sz w:val="24"/>
          <w:szCs w:val="24"/>
        </w:rPr>
        <w:t>“(see Section 1.3.8)”.</w:t>
      </w:r>
    </w:p>
    <w:p w14:paraId="4FF01AB8" w14:textId="77777777" w:rsidR="008C769D" w:rsidRDefault="008C769D" w:rsidP="00EA023C">
      <w:pPr>
        <w:rPr>
          <w:color w:val="FF0000"/>
          <w:sz w:val="24"/>
          <w:szCs w:val="24"/>
        </w:rPr>
      </w:pPr>
    </w:p>
    <w:p w14:paraId="37DD2128" w14:textId="2D632786" w:rsidR="003C7301" w:rsidRPr="008C769D" w:rsidRDefault="00EA023C" w:rsidP="00EA023C">
      <w:pPr>
        <w:rPr>
          <w:sz w:val="24"/>
          <w:szCs w:val="24"/>
        </w:rPr>
      </w:pPr>
      <w:r w:rsidRPr="008C769D">
        <w:rPr>
          <w:sz w:val="24"/>
          <w:szCs w:val="24"/>
        </w:rPr>
        <w:t xml:space="preserve">9) RFP Section 4.1.1 states “The initial Beverage product and package mix are set forth in Attachment F”. Attachment F is for References. Please clarify where this initial product and package mix is found? </w:t>
      </w:r>
    </w:p>
    <w:p w14:paraId="67D38BD6" w14:textId="28277FDB" w:rsidR="003C7301" w:rsidRDefault="008C769D" w:rsidP="008C769D">
      <w:pPr>
        <w:widowControl w:val="0"/>
        <w:autoSpaceDE w:val="0"/>
        <w:autoSpaceDN w:val="0"/>
        <w:adjustRightInd w:val="0"/>
        <w:spacing w:line="273" w:lineRule="exact"/>
        <w:jc w:val="both"/>
        <w:rPr>
          <w:i/>
          <w:iCs/>
          <w:color w:val="0070C0"/>
          <w:sz w:val="24"/>
          <w:szCs w:val="24"/>
        </w:rPr>
      </w:pPr>
      <w:bookmarkStart w:id="3" w:name="_Hlk161250179"/>
      <w:bookmarkStart w:id="4" w:name="_Hlk161757366"/>
      <w:r w:rsidRPr="008C769D">
        <w:rPr>
          <w:i/>
          <w:iCs/>
          <w:color w:val="0070C0"/>
          <w:sz w:val="24"/>
          <w:szCs w:val="24"/>
          <w:u w:val="single"/>
        </w:rPr>
        <w:t>Answer:</w:t>
      </w:r>
      <w:r w:rsidRPr="008C769D">
        <w:rPr>
          <w:i/>
          <w:iCs/>
          <w:color w:val="0070C0"/>
          <w:sz w:val="24"/>
          <w:szCs w:val="24"/>
        </w:rPr>
        <w:t xml:space="preserve"> T</w:t>
      </w:r>
      <w:r w:rsidR="003C7301" w:rsidRPr="008C769D">
        <w:rPr>
          <w:i/>
          <w:iCs/>
          <w:color w:val="0070C0"/>
          <w:sz w:val="24"/>
          <w:szCs w:val="24"/>
        </w:rPr>
        <w:t xml:space="preserve">he following statement </w:t>
      </w:r>
      <w:r w:rsidRPr="008C769D">
        <w:rPr>
          <w:i/>
          <w:iCs/>
          <w:color w:val="0070C0"/>
          <w:sz w:val="24"/>
          <w:szCs w:val="24"/>
        </w:rPr>
        <w:t xml:space="preserve">of </w:t>
      </w:r>
      <w:r w:rsidR="003C7301" w:rsidRPr="008C769D">
        <w:rPr>
          <w:i/>
          <w:iCs/>
          <w:color w:val="0070C0"/>
          <w:sz w:val="24"/>
          <w:szCs w:val="24"/>
        </w:rPr>
        <w:t>section 4.1.1 on page 29</w:t>
      </w:r>
      <w:r w:rsidRPr="008C769D">
        <w:rPr>
          <w:i/>
          <w:iCs/>
          <w:color w:val="0070C0"/>
          <w:sz w:val="24"/>
          <w:szCs w:val="24"/>
        </w:rPr>
        <w:t xml:space="preserve"> shall be: </w:t>
      </w:r>
      <w:bookmarkEnd w:id="3"/>
      <w:r w:rsidRPr="008C769D">
        <w:rPr>
          <w:i/>
          <w:iCs/>
          <w:color w:val="0070C0"/>
          <w:sz w:val="24"/>
          <w:szCs w:val="24"/>
        </w:rPr>
        <w:t>“</w:t>
      </w:r>
      <w:r w:rsidR="003C7301" w:rsidRPr="008C769D">
        <w:rPr>
          <w:i/>
          <w:iCs/>
          <w:color w:val="0070C0"/>
          <w:sz w:val="24"/>
          <w:szCs w:val="24"/>
        </w:rPr>
        <w:t xml:space="preserve">The initial Beverage product and package mix are set forth in </w:t>
      </w:r>
      <w:r w:rsidR="003C7301" w:rsidRPr="008C769D">
        <w:rPr>
          <w:b/>
          <w:i/>
          <w:iCs/>
          <w:color w:val="0070C0"/>
          <w:sz w:val="24"/>
          <w:szCs w:val="24"/>
        </w:rPr>
        <w:t xml:space="preserve">Attachment </w:t>
      </w:r>
      <w:r w:rsidR="00692E14">
        <w:rPr>
          <w:b/>
          <w:i/>
          <w:iCs/>
          <w:color w:val="0070C0"/>
          <w:sz w:val="24"/>
          <w:szCs w:val="24"/>
        </w:rPr>
        <w:t>E</w:t>
      </w:r>
      <w:r w:rsidR="003C7301" w:rsidRPr="008C769D">
        <w:rPr>
          <w:i/>
          <w:iCs/>
          <w:color w:val="0070C0"/>
          <w:sz w:val="24"/>
          <w:szCs w:val="24"/>
        </w:rPr>
        <w:t xml:space="preserve">.  </w:t>
      </w:r>
      <w:bookmarkStart w:id="5" w:name="_Hlk161239628"/>
      <w:r w:rsidR="003C7301" w:rsidRPr="008C769D">
        <w:rPr>
          <w:i/>
          <w:iCs/>
          <w:color w:val="0070C0"/>
          <w:sz w:val="24"/>
          <w:szCs w:val="24"/>
        </w:rPr>
        <w:t xml:space="preserve">Contractor may not change product or package mix to be supplied to </w:t>
      </w:r>
      <w:r w:rsidRPr="008C769D">
        <w:rPr>
          <w:i/>
          <w:iCs/>
          <w:color w:val="0070C0"/>
          <w:sz w:val="24"/>
          <w:szCs w:val="24"/>
        </w:rPr>
        <w:t xml:space="preserve">ASU </w:t>
      </w:r>
      <w:r w:rsidR="003C7301" w:rsidRPr="008C769D">
        <w:rPr>
          <w:i/>
          <w:iCs/>
          <w:color w:val="0070C0"/>
          <w:sz w:val="24"/>
          <w:szCs w:val="24"/>
        </w:rPr>
        <w:t>without ASU’s prior written consent.</w:t>
      </w:r>
      <w:r w:rsidRPr="008C769D">
        <w:rPr>
          <w:i/>
          <w:iCs/>
          <w:color w:val="0070C0"/>
          <w:sz w:val="24"/>
          <w:szCs w:val="24"/>
        </w:rPr>
        <w:t>”</w:t>
      </w:r>
    </w:p>
    <w:p w14:paraId="65411C31" w14:textId="77777777" w:rsidR="00692E14" w:rsidRDefault="00692E14" w:rsidP="008C769D">
      <w:pPr>
        <w:widowControl w:val="0"/>
        <w:autoSpaceDE w:val="0"/>
        <w:autoSpaceDN w:val="0"/>
        <w:adjustRightInd w:val="0"/>
        <w:spacing w:line="273" w:lineRule="exact"/>
        <w:jc w:val="both"/>
        <w:rPr>
          <w:i/>
          <w:iCs/>
          <w:color w:val="0070C0"/>
          <w:sz w:val="24"/>
          <w:szCs w:val="24"/>
        </w:rPr>
      </w:pPr>
    </w:p>
    <w:bookmarkEnd w:id="4"/>
    <w:bookmarkEnd w:id="5"/>
    <w:p w14:paraId="4A5568A2" w14:textId="4B5E3D36" w:rsidR="00823DD3" w:rsidRPr="008C769D" w:rsidRDefault="00EA023C" w:rsidP="00823DD3">
      <w:pPr>
        <w:rPr>
          <w:sz w:val="24"/>
          <w:szCs w:val="24"/>
        </w:rPr>
      </w:pPr>
      <w:r w:rsidRPr="008C769D">
        <w:rPr>
          <w:sz w:val="24"/>
          <w:szCs w:val="24"/>
        </w:rPr>
        <w:t>10) RFP Section 4.3.1 – does not provide a # of vending equipment in the paragraph. Please advise.</w:t>
      </w:r>
    </w:p>
    <w:p w14:paraId="00739ADC" w14:textId="3D79F82D" w:rsidR="00823DD3" w:rsidRPr="008C769D" w:rsidRDefault="008C769D" w:rsidP="00823DD3">
      <w:pPr>
        <w:rPr>
          <w:rFonts w:eastAsia="Times New Roman"/>
          <w:i/>
          <w:iCs/>
          <w:color w:val="0070C0"/>
          <w:sz w:val="24"/>
          <w:szCs w:val="24"/>
        </w:rPr>
      </w:pPr>
      <w:r w:rsidRPr="008C769D">
        <w:rPr>
          <w:rFonts w:eastAsia="Times New Roman"/>
          <w:i/>
          <w:iCs/>
          <w:color w:val="0070C0"/>
          <w:sz w:val="24"/>
          <w:szCs w:val="24"/>
          <w:u w:val="single"/>
        </w:rPr>
        <w:t>Answer:</w:t>
      </w:r>
      <w:r w:rsidRPr="008C769D">
        <w:rPr>
          <w:rFonts w:eastAsia="Times New Roman"/>
          <w:i/>
          <w:iCs/>
          <w:color w:val="0070C0"/>
          <w:sz w:val="24"/>
          <w:szCs w:val="24"/>
        </w:rPr>
        <w:t xml:space="preserve"> </w:t>
      </w:r>
      <w:r w:rsidR="00823DD3" w:rsidRPr="008C769D">
        <w:rPr>
          <w:rFonts w:eastAsia="Times New Roman"/>
          <w:i/>
          <w:iCs/>
          <w:color w:val="0070C0"/>
          <w:sz w:val="24"/>
          <w:szCs w:val="24"/>
        </w:rPr>
        <w:t>We have the following equipment throughout the ASU Campus</w:t>
      </w:r>
      <w:r w:rsidRPr="008C769D">
        <w:rPr>
          <w:rFonts w:eastAsia="Times New Roman"/>
          <w:i/>
          <w:iCs/>
          <w:color w:val="0070C0"/>
          <w:sz w:val="24"/>
          <w:szCs w:val="24"/>
        </w:rPr>
        <w:t>es</w:t>
      </w:r>
      <w:r w:rsidR="00823DD3" w:rsidRPr="008C769D">
        <w:rPr>
          <w:rFonts w:eastAsia="Times New Roman"/>
          <w:i/>
          <w:iCs/>
          <w:color w:val="0070C0"/>
          <w:sz w:val="24"/>
          <w:szCs w:val="24"/>
        </w:rPr>
        <w:t xml:space="preserve">. </w:t>
      </w:r>
    </w:p>
    <w:p w14:paraId="4E172230" w14:textId="77777777" w:rsidR="008C769D" w:rsidRPr="00E853E4" w:rsidRDefault="008C769D" w:rsidP="008C769D">
      <w:p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ASU Main Campus</w:t>
      </w:r>
    </w:p>
    <w:p w14:paraId="68875ADC" w14:textId="77777777" w:rsidR="008C769D" w:rsidRPr="00E853E4" w:rsidRDefault="008C769D" w:rsidP="008C769D">
      <w:pPr>
        <w:pStyle w:val="ListParagraph"/>
        <w:numPr>
          <w:ilvl w:val="0"/>
          <w:numId w:val="10"/>
        </w:numPr>
        <w:rPr>
          <w:rFonts w:eastAsia="Times New Roman"/>
          <w:i/>
          <w:iCs/>
          <w:color w:val="0070C0"/>
          <w:sz w:val="24"/>
          <w:szCs w:val="24"/>
        </w:rPr>
      </w:pPr>
      <w:r w:rsidRPr="00E853E4">
        <w:rPr>
          <w:rFonts w:eastAsia="Times New Roman"/>
          <w:i/>
          <w:iCs/>
          <w:color w:val="0070C0"/>
          <w:sz w:val="24"/>
          <w:szCs w:val="24"/>
        </w:rPr>
        <w:t>55 coolers</w:t>
      </w:r>
    </w:p>
    <w:p w14:paraId="2BB59871" w14:textId="77777777" w:rsidR="008C769D" w:rsidRPr="00E853E4" w:rsidRDefault="008C769D" w:rsidP="008C769D">
      <w:pPr>
        <w:pStyle w:val="ListParagraph"/>
        <w:numPr>
          <w:ilvl w:val="0"/>
          <w:numId w:val="10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25 – beverage vending machines</w:t>
      </w:r>
    </w:p>
    <w:p w14:paraId="70A5FDD1" w14:textId="77777777" w:rsidR="008C769D" w:rsidRPr="00E853E4" w:rsidRDefault="008C769D" w:rsidP="008C769D">
      <w:pPr>
        <w:pStyle w:val="ListParagraph"/>
        <w:numPr>
          <w:ilvl w:val="0"/>
          <w:numId w:val="10"/>
        </w:numPr>
        <w:rPr>
          <w:rFonts w:eastAsia="Times New Roman"/>
          <w:i/>
          <w:iCs/>
          <w:color w:val="0070C0"/>
          <w:sz w:val="24"/>
          <w:szCs w:val="24"/>
        </w:rPr>
      </w:pPr>
      <w:r w:rsidRPr="00E853E4">
        <w:rPr>
          <w:rFonts w:eastAsia="Times New Roman"/>
          <w:i/>
          <w:iCs/>
          <w:color w:val="0070C0"/>
          <w:sz w:val="24"/>
          <w:szCs w:val="24"/>
        </w:rPr>
        <w:t>9 fountain units</w:t>
      </w:r>
    </w:p>
    <w:p w14:paraId="2B0721CE" w14:textId="77777777" w:rsidR="008C769D" w:rsidRPr="00E853E4" w:rsidRDefault="008C769D" w:rsidP="008C769D">
      <w:p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ASU Natchez Campus</w:t>
      </w:r>
    </w:p>
    <w:p w14:paraId="4BA89E72" w14:textId="77777777" w:rsidR="008C769D" w:rsidRPr="00E853E4" w:rsidRDefault="008C769D" w:rsidP="008C769D">
      <w:pPr>
        <w:pStyle w:val="ListParagraph"/>
        <w:numPr>
          <w:ilvl w:val="0"/>
          <w:numId w:val="9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3 - beverage vending machines at the School of Nursing</w:t>
      </w:r>
    </w:p>
    <w:p w14:paraId="1ED3679D" w14:textId="77777777" w:rsidR="008C769D" w:rsidRPr="00E853E4" w:rsidRDefault="008C769D" w:rsidP="008C769D">
      <w:pPr>
        <w:pStyle w:val="ListParagraph"/>
        <w:numPr>
          <w:ilvl w:val="0"/>
          <w:numId w:val="9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1 - beverage vending machine at the MBA building</w:t>
      </w:r>
    </w:p>
    <w:p w14:paraId="2F3AB09A" w14:textId="77777777" w:rsidR="008C769D" w:rsidRPr="00E853E4" w:rsidRDefault="008C769D" w:rsidP="008C769D">
      <w:pPr>
        <w:pStyle w:val="ListParagraph"/>
        <w:numPr>
          <w:ilvl w:val="0"/>
          <w:numId w:val="9"/>
        </w:numPr>
        <w:rPr>
          <w:i/>
          <w:iCs/>
          <w:color w:val="0070C0"/>
          <w:sz w:val="24"/>
          <w:szCs w:val="24"/>
        </w:rPr>
      </w:pPr>
      <w:r w:rsidRPr="00E853E4">
        <w:rPr>
          <w:i/>
          <w:iCs/>
          <w:color w:val="0070C0"/>
          <w:sz w:val="24"/>
          <w:szCs w:val="24"/>
        </w:rPr>
        <w:t>1 - beverage vending machine at the Dormitory</w:t>
      </w:r>
    </w:p>
    <w:p w14:paraId="6822C36E" w14:textId="77777777" w:rsidR="00A13BE8" w:rsidRDefault="00A13BE8" w:rsidP="00EA023C">
      <w:pPr>
        <w:rPr>
          <w:bCs/>
          <w:color w:val="FF0000"/>
          <w:sz w:val="24"/>
          <w:szCs w:val="24"/>
        </w:rPr>
      </w:pPr>
    </w:p>
    <w:p w14:paraId="63A947D3" w14:textId="5E7095EC" w:rsidR="00F64B2A" w:rsidRPr="00453FFD" w:rsidRDefault="00F64B2A" w:rsidP="00EA023C">
      <w:pPr>
        <w:rPr>
          <w:b/>
          <w:sz w:val="24"/>
          <w:szCs w:val="24"/>
        </w:rPr>
      </w:pPr>
      <w:r w:rsidRPr="00453FFD">
        <w:rPr>
          <w:b/>
          <w:sz w:val="24"/>
          <w:szCs w:val="24"/>
        </w:rPr>
        <w:t xml:space="preserve">Additional questions </w:t>
      </w:r>
    </w:p>
    <w:p w14:paraId="368827C3" w14:textId="77777777" w:rsidR="00453FFD" w:rsidRPr="00285BA8" w:rsidRDefault="00453FFD" w:rsidP="00EA023C">
      <w:pPr>
        <w:rPr>
          <w:bCs/>
          <w:sz w:val="24"/>
          <w:szCs w:val="24"/>
        </w:rPr>
      </w:pPr>
    </w:p>
    <w:p w14:paraId="2D688E71" w14:textId="27BFA86D" w:rsidR="00C6516B" w:rsidRPr="00285BA8" w:rsidRDefault="00F421AF" w:rsidP="00C6516B">
      <w:pPr>
        <w:pStyle w:val="ListParagraph"/>
        <w:numPr>
          <w:ilvl w:val="0"/>
          <w:numId w:val="18"/>
        </w:numPr>
        <w:spacing w:after="160" w:line="278" w:lineRule="auto"/>
        <w:rPr>
          <w:color w:val="0070C0"/>
          <w:sz w:val="24"/>
          <w:szCs w:val="24"/>
        </w:rPr>
      </w:pPr>
      <w:r w:rsidRPr="00285BA8">
        <w:rPr>
          <w:sz w:val="24"/>
          <w:szCs w:val="24"/>
        </w:rPr>
        <w:t>We noticed within the RFP that it calls for a 7 or a 10-year proposal–  is there a preference on the term? Our model calls for a 10-Year proposal but we can offer whatever is preferred. Please let us know if we need to come prepared to offer both options</w:t>
      </w:r>
      <w:r w:rsidRPr="00285BA8">
        <w:rPr>
          <w:color w:val="0070C0"/>
          <w:sz w:val="24"/>
          <w:szCs w:val="24"/>
        </w:rPr>
        <w:t xml:space="preserve">. </w:t>
      </w:r>
    </w:p>
    <w:p w14:paraId="08E195A2" w14:textId="06072248" w:rsidR="00285BA8" w:rsidRPr="00285BA8" w:rsidRDefault="00285BA8" w:rsidP="00285BA8">
      <w:pPr>
        <w:pStyle w:val="ListParagraph"/>
        <w:spacing w:after="160" w:line="278" w:lineRule="auto"/>
        <w:ind w:left="1080"/>
        <w:rPr>
          <w:i/>
          <w:iCs/>
          <w:color w:val="0070C0"/>
          <w:sz w:val="24"/>
          <w:szCs w:val="24"/>
        </w:rPr>
      </w:pPr>
      <w:r w:rsidRPr="00285BA8">
        <w:rPr>
          <w:i/>
          <w:iCs/>
          <w:color w:val="0070C0"/>
          <w:sz w:val="24"/>
          <w:szCs w:val="24"/>
          <w:u w:val="single"/>
        </w:rPr>
        <w:t>Answer:</w:t>
      </w:r>
      <w:r w:rsidRPr="00285BA8">
        <w:rPr>
          <w:i/>
          <w:iCs/>
          <w:color w:val="0070C0"/>
          <w:sz w:val="24"/>
          <w:szCs w:val="24"/>
        </w:rPr>
        <w:t xml:space="preserve"> please provide a 10-year proposal only.</w:t>
      </w:r>
    </w:p>
    <w:p w14:paraId="1D24CB98" w14:textId="77777777" w:rsidR="00F421AF" w:rsidRPr="00F769DB" w:rsidRDefault="00F421AF" w:rsidP="00F421AF">
      <w:pPr>
        <w:pStyle w:val="ListParagraph"/>
        <w:ind w:left="1080"/>
        <w:rPr>
          <w:sz w:val="28"/>
          <w:szCs w:val="28"/>
        </w:rPr>
      </w:pPr>
    </w:p>
    <w:p w14:paraId="3EDA5174" w14:textId="1DD7EF87" w:rsidR="00F421AF" w:rsidRPr="00453FFD" w:rsidRDefault="00F421AF" w:rsidP="00453FFD">
      <w:pPr>
        <w:pStyle w:val="ListParagraph"/>
        <w:numPr>
          <w:ilvl w:val="0"/>
          <w:numId w:val="18"/>
        </w:numPr>
        <w:spacing w:after="160" w:line="278" w:lineRule="auto"/>
        <w:rPr>
          <w:sz w:val="24"/>
          <w:szCs w:val="24"/>
        </w:rPr>
      </w:pPr>
      <w:r w:rsidRPr="00285BA8">
        <w:rPr>
          <w:sz w:val="24"/>
          <w:szCs w:val="24"/>
        </w:rPr>
        <w:t>What does “CUNY” mean?</w:t>
      </w:r>
      <w:r w:rsidR="00453FFD">
        <w:rPr>
          <w:sz w:val="24"/>
          <w:szCs w:val="24"/>
        </w:rPr>
        <w:t xml:space="preserve"> A. </w:t>
      </w:r>
      <w:r w:rsidRPr="00453FFD">
        <w:rPr>
          <w:sz w:val="24"/>
          <w:szCs w:val="24"/>
        </w:rPr>
        <w:t>Page 29 (4.1.1)</w:t>
      </w:r>
    </w:p>
    <w:p w14:paraId="30F662E3" w14:textId="4A735A7F" w:rsidR="00285BA8" w:rsidRPr="00285BA8" w:rsidRDefault="00285BA8" w:rsidP="00285BA8">
      <w:pPr>
        <w:widowControl w:val="0"/>
        <w:autoSpaceDE w:val="0"/>
        <w:autoSpaceDN w:val="0"/>
        <w:adjustRightInd w:val="0"/>
        <w:spacing w:line="273" w:lineRule="exact"/>
        <w:ind w:left="1080"/>
        <w:jc w:val="both"/>
        <w:rPr>
          <w:i/>
          <w:iCs/>
          <w:color w:val="0070C0"/>
          <w:sz w:val="24"/>
          <w:szCs w:val="24"/>
          <w:highlight w:val="yellow"/>
        </w:rPr>
      </w:pPr>
      <w:r w:rsidRPr="00285BA8">
        <w:rPr>
          <w:i/>
          <w:iCs/>
          <w:color w:val="0070C0"/>
          <w:sz w:val="24"/>
          <w:szCs w:val="24"/>
          <w:u w:val="single"/>
        </w:rPr>
        <w:t>Answer:</w:t>
      </w:r>
      <w:r w:rsidRPr="00285BA8">
        <w:rPr>
          <w:i/>
          <w:iCs/>
          <w:color w:val="0070C0"/>
          <w:sz w:val="24"/>
          <w:szCs w:val="24"/>
        </w:rPr>
        <w:t xml:space="preserve"> </w:t>
      </w:r>
      <w:r>
        <w:rPr>
          <w:i/>
          <w:iCs/>
          <w:color w:val="0070C0"/>
          <w:sz w:val="24"/>
          <w:szCs w:val="24"/>
        </w:rPr>
        <w:t xml:space="preserve">replace “CUNY” with ASU.  </w:t>
      </w:r>
      <w:r w:rsidRPr="00285BA8">
        <w:rPr>
          <w:i/>
          <w:iCs/>
          <w:color w:val="0070C0"/>
          <w:sz w:val="24"/>
          <w:szCs w:val="24"/>
        </w:rPr>
        <w:t>The following statement of section 4.1.1 on page 29 shall be:</w:t>
      </w:r>
      <w:r>
        <w:rPr>
          <w:i/>
          <w:iCs/>
          <w:color w:val="0070C0"/>
          <w:sz w:val="24"/>
          <w:szCs w:val="24"/>
        </w:rPr>
        <w:t xml:space="preserve"> </w:t>
      </w:r>
      <w:r w:rsidRPr="00285BA8">
        <w:rPr>
          <w:i/>
          <w:iCs/>
          <w:color w:val="0070C0"/>
          <w:sz w:val="24"/>
          <w:szCs w:val="24"/>
        </w:rPr>
        <w:t xml:space="preserve"> “The initial Beverage product and package mix are set forth in </w:t>
      </w:r>
      <w:r w:rsidRPr="00285BA8">
        <w:rPr>
          <w:b/>
          <w:i/>
          <w:iCs/>
          <w:color w:val="0070C0"/>
          <w:sz w:val="24"/>
          <w:szCs w:val="24"/>
        </w:rPr>
        <w:t xml:space="preserve">Attachment </w:t>
      </w:r>
      <w:r w:rsidR="00662D5A">
        <w:rPr>
          <w:b/>
          <w:i/>
          <w:iCs/>
          <w:color w:val="0070C0"/>
          <w:sz w:val="24"/>
          <w:szCs w:val="24"/>
        </w:rPr>
        <w:t>E</w:t>
      </w:r>
      <w:r w:rsidRPr="00285BA8">
        <w:rPr>
          <w:i/>
          <w:iCs/>
          <w:color w:val="0070C0"/>
          <w:sz w:val="24"/>
          <w:szCs w:val="24"/>
        </w:rPr>
        <w:t xml:space="preserve">.  Contractor may not change product or package mix to be supplied to </w:t>
      </w:r>
      <w:r w:rsidRPr="00285BA8">
        <w:rPr>
          <w:i/>
          <w:iCs/>
          <w:color w:val="0070C0"/>
          <w:sz w:val="24"/>
          <w:szCs w:val="24"/>
          <w:u w:val="single"/>
        </w:rPr>
        <w:t>ASU</w:t>
      </w:r>
      <w:r w:rsidRPr="00285BA8">
        <w:rPr>
          <w:i/>
          <w:iCs/>
          <w:color w:val="0070C0"/>
          <w:sz w:val="24"/>
          <w:szCs w:val="24"/>
        </w:rPr>
        <w:t xml:space="preserve"> without ASU’s prior written consent.”</w:t>
      </w:r>
    </w:p>
    <w:p w14:paraId="5873A2FC" w14:textId="77777777" w:rsidR="00F421AF" w:rsidRPr="00453FFD" w:rsidRDefault="00F421AF" w:rsidP="00F421AF">
      <w:pPr>
        <w:pStyle w:val="ListParagraph"/>
        <w:ind w:left="1440"/>
        <w:rPr>
          <w:sz w:val="24"/>
          <w:szCs w:val="24"/>
        </w:rPr>
      </w:pPr>
    </w:p>
    <w:p w14:paraId="42F160F9" w14:textId="77777777" w:rsidR="00453FFD" w:rsidRDefault="00F421AF" w:rsidP="00453FFD">
      <w:pPr>
        <w:pStyle w:val="ListParagraph"/>
        <w:numPr>
          <w:ilvl w:val="0"/>
          <w:numId w:val="18"/>
        </w:numPr>
        <w:spacing w:after="160" w:line="278" w:lineRule="auto"/>
        <w:rPr>
          <w:sz w:val="24"/>
          <w:szCs w:val="24"/>
        </w:rPr>
      </w:pPr>
      <w:r w:rsidRPr="00453FFD">
        <w:rPr>
          <w:sz w:val="24"/>
          <w:szCs w:val="24"/>
        </w:rPr>
        <w:t xml:space="preserve">We understand that this RFP is a Beverage Rights Proposal, but throughout the RFP a Food Beverage Provider is mentioned. Coca-Cola has a preferred snack partner we work with in the area to be able to service snack needs, micro marts </w:t>
      </w:r>
      <w:proofErr w:type="spellStart"/>
      <w:r w:rsidRPr="00453FFD">
        <w:rPr>
          <w:sz w:val="24"/>
          <w:szCs w:val="24"/>
        </w:rPr>
        <w:t>etc</w:t>
      </w:r>
      <w:proofErr w:type="spellEnd"/>
      <w:r w:rsidRPr="00453FFD">
        <w:rPr>
          <w:sz w:val="24"/>
          <w:szCs w:val="24"/>
        </w:rPr>
        <w:t xml:space="preserve"> if required, but also can work in coalition with any snack provider needed. We understand this to be a beverage proposal and will come with a focus on beverage rights. </w:t>
      </w:r>
    </w:p>
    <w:p w14:paraId="7D8619A8" w14:textId="1CA361F3" w:rsidR="00F421AF" w:rsidRPr="00453FFD" w:rsidRDefault="00285BA8" w:rsidP="00453FFD">
      <w:pPr>
        <w:pStyle w:val="ListParagraph"/>
        <w:spacing w:after="160" w:line="278" w:lineRule="auto"/>
        <w:ind w:left="1080"/>
        <w:rPr>
          <w:sz w:val="24"/>
          <w:szCs w:val="24"/>
        </w:rPr>
      </w:pPr>
      <w:r w:rsidRPr="00453FFD">
        <w:rPr>
          <w:i/>
          <w:iCs/>
          <w:color w:val="0070C0"/>
          <w:sz w:val="24"/>
          <w:szCs w:val="24"/>
          <w:u w:val="single"/>
        </w:rPr>
        <w:lastRenderedPageBreak/>
        <w:t>Answer:</w:t>
      </w:r>
      <w:r w:rsidRPr="00453FFD">
        <w:rPr>
          <w:i/>
          <w:iCs/>
          <w:color w:val="0070C0"/>
          <w:sz w:val="24"/>
          <w:szCs w:val="24"/>
        </w:rPr>
        <w:t xml:space="preserve"> </w:t>
      </w:r>
      <w:r w:rsidR="00F421AF" w:rsidRPr="00453FFD">
        <w:rPr>
          <w:i/>
          <w:iCs/>
          <w:color w:val="0070C0"/>
          <w:sz w:val="24"/>
          <w:szCs w:val="24"/>
        </w:rPr>
        <w:t>This RFP will be for Beverage Rights only</w:t>
      </w:r>
      <w:r w:rsidRPr="00453FFD">
        <w:rPr>
          <w:i/>
          <w:iCs/>
          <w:color w:val="0070C0"/>
          <w:sz w:val="24"/>
          <w:szCs w:val="24"/>
        </w:rPr>
        <w:t xml:space="preserve"> and on </w:t>
      </w:r>
      <w:r w:rsidR="00F421AF" w:rsidRPr="00453FFD">
        <w:rPr>
          <w:i/>
          <w:iCs/>
          <w:color w:val="0070C0"/>
          <w:sz w:val="24"/>
          <w:szCs w:val="24"/>
        </w:rPr>
        <w:t xml:space="preserve">Page </w:t>
      </w:r>
      <w:r w:rsidR="00746E3D" w:rsidRPr="00453FFD">
        <w:rPr>
          <w:i/>
          <w:iCs/>
          <w:color w:val="0070C0"/>
          <w:sz w:val="24"/>
          <w:szCs w:val="24"/>
        </w:rPr>
        <w:t>27 section 1.23, omit “snack vending machines” and substitute with vending machines.</w:t>
      </w:r>
    </w:p>
    <w:p w14:paraId="7B13F661" w14:textId="77777777" w:rsidR="00F421AF" w:rsidRPr="00F769DB" w:rsidRDefault="00F421AF" w:rsidP="00F421AF">
      <w:pPr>
        <w:pStyle w:val="ListParagraph"/>
        <w:ind w:left="1080"/>
        <w:rPr>
          <w:sz w:val="28"/>
          <w:szCs w:val="28"/>
        </w:rPr>
      </w:pPr>
    </w:p>
    <w:p w14:paraId="318C58E5" w14:textId="5F0C91A9" w:rsidR="00F421AF" w:rsidRPr="00453FFD" w:rsidRDefault="00F421AF" w:rsidP="00746E3D">
      <w:pPr>
        <w:pStyle w:val="ListParagraph"/>
        <w:numPr>
          <w:ilvl w:val="0"/>
          <w:numId w:val="18"/>
        </w:numPr>
        <w:spacing w:after="160" w:line="278" w:lineRule="auto"/>
        <w:rPr>
          <w:sz w:val="24"/>
          <w:szCs w:val="24"/>
        </w:rPr>
      </w:pPr>
      <w:r w:rsidRPr="00453FFD">
        <w:rPr>
          <w:sz w:val="24"/>
          <w:szCs w:val="24"/>
        </w:rPr>
        <w:t xml:space="preserve">College One Card – please clarify if this is in reference to the card used on campus that is a credit card on one side and a Food service currency card on the other. </w:t>
      </w:r>
    </w:p>
    <w:p w14:paraId="3BE2E692" w14:textId="24AB72D4" w:rsidR="00746E3D" w:rsidRPr="00453FFD" w:rsidRDefault="00453FFD" w:rsidP="00453FFD">
      <w:pPr>
        <w:spacing w:after="160" w:line="278" w:lineRule="auto"/>
        <w:ind w:left="1080"/>
        <w:rPr>
          <w:i/>
          <w:iCs/>
          <w:sz w:val="24"/>
          <w:szCs w:val="24"/>
        </w:rPr>
      </w:pPr>
      <w:r w:rsidRPr="00453FFD">
        <w:rPr>
          <w:i/>
          <w:iCs/>
          <w:color w:val="0070C0"/>
          <w:sz w:val="24"/>
          <w:szCs w:val="24"/>
          <w:u w:val="single"/>
        </w:rPr>
        <w:t>Answer:</w:t>
      </w:r>
      <w:r w:rsidRPr="00453FFD">
        <w:rPr>
          <w:i/>
          <w:iCs/>
          <w:color w:val="0070C0"/>
          <w:sz w:val="24"/>
          <w:szCs w:val="24"/>
        </w:rPr>
        <w:t xml:space="preserve"> </w:t>
      </w:r>
      <w:r w:rsidR="00C6516B" w:rsidRPr="00453FFD">
        <w:rPr>
          <w:i/>
          <w:iCs/>
          <w:color w:val="0070C0"/>
          <w:sz w:val="24"/>
          <w:szCs w:val="24"/>
        </w:rPr>
        <w:t>Please replace the term college one card with ”</w:t>
      </w:r>
      <w:r w:rsidR="00C6516B" w:rsidRPr="00453FFD">
        <w:rPr>
          <w:b/>
          <w:bCs/>
          <w:i/>
          <w:iCs/>
          <w:color w:val="0070C0"/>
          <w:sz w:val="24"/>
          <w:szCs w:val="24"/>
        </w:rPr>
        <w:t>College Gold Card”</w:t>
      </w:r>
      <w:r w:rsidRPr="00453FFD">
        <w:rPr>
          <w:b/>
          <w:bCs/>
          <w:i/>
          <w:iCs/>
          <w:color w:val="0070C0"/>
          <w:sz w:val="24"/>
          <w:szCs w:val="24"/>
        </w:rPr>
        <w:t xml:space="preserve"> It’s a debit card for students</w:t>
      </w:r>
      <w:r w:rsidR="00C6516B" w:rsidRPr="00453FFD">
        <w:rPr>
          <w:i/>
          <w:iCs/>
          <w:color w:val="0070C0"/>
          <w:sz w:val="24"/>
          <w:szCs w:val="24"/>
        </w:rPr>
        <w:t>. See page 10 sect. 2.4 and page 14 sect. 3.3.9.1</w:t>
      </w:r>
    </w:p>
    <w:sectPr w:rsidR="00746E3D" w:rsidRPr="00453FFD" w:rsidSect="003F2AA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CC"/>
    <w:multiLevelType w:val="hybridMultilevel"/>
    <w:tmpl w:val="A4EA29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FE09F3"/>
    <w:multiLevelType w:val="hybridMultilevel"/>
    <w:tmpl w:val="0D28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3870"/>
    <w:multiLevelType w:val="multilevel"/>
    <w:tmpl w:val="E4426446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FF27C4"/>
    <w:multiLevelType w:val="multilevel"/>
    <w:tmpl w:val="72FEE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1622B3"/>
    <w:multiLevelType w:val="multilevel"/>
    <w:tmpl w:val="E490F160"/>
    <w:lvl w:ilvl="0">
      <w:start w:val="1"/>
      <w:numFmt w:val="decimal"/>
      <w:suff w:val="nothing"/>
      <w:lvlText w:val="Section %1"/>
      <w:lvlJc w:val="left"/>
      <w:pPr>
        <w:ind w:left="135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2715044"/>
    <w:multiLevelType w:val="multilevel"/>
    <w:tmpl w:val="204450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52B7718"/>
    <w:multiLevelType w:val="hybridMultilevel"/>
    <w:tmpl w:val="9900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3349B1"/>
    <w:multiLevelType w:val="hybridMultilevel"/>
    <w:tmpl w:val="84B8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6749D"/>
    <w:multiLevelType w:val="hybridMultilevel"/>
    <w:tmpl w:val="88303E9E"/>
    <w:lvl w:ilvl="0" w:tplc="5A804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2F3B35"/>
    <w:multiLevelType w:val="hybridMultilevel"/>
    <w:tmpl w:val="83C24910"/>
    <w:lvl w:ilvl="0" w:tplc="F58CAE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0FFA"/>
    <w:multiLevelType w:val="multilevel"/>
    <w:tmpl w:val="439633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F96B49"/>
    <w:multiLevelType w:val="hybridMultilevel"/>
    <w:tmpl w:val="49EC3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FE2D41"/>
    <w:multiLevelType w:val="hybridMultilevel"/>
    <w:tmpl w:val="88A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E01"/>
    <w:multiLevelType w:val="multilevel"/>
    <w:tmpl w:val="39E45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F70C1B"/>
    <w:multiLevelType w:val="hybridMultilevel"/>
    <w:tmpl w:val="BD9EC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90550"/>
    <w:multiLevelType w:val="multilevel"/>
    <w:tmpl w:val="D688B8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u w:val="single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5BEE722B"/>
    <w:multiLevelType w:val="hybridMultilevel"/>
    <w:tmpl w:val="914C8906"/>
    <w:lvl w:ilvl="0" w:tplc="08FCE9B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806B5"/>
    <w:multiLevelType w:val="hybridMultilevel"/>
    <w:tmpl w:val="E7C052B4"/>
    <w:lvl w:ilvl="0" w:tplc="235E2D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D4328"/>
    <w:multiLevelType w:val="multilevel"/>
    <w:tmpl w:val="3FAAF1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457EFC"/>
    <w:multiLevelType w:val="multilevel"/>
    <w:tmpl w:val="D62AB4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223BDE"/>
    <w:multiLevelType w:val="multilevel"/>
    <w:tmpl w:val="028E6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593975291">
    <w:abstractNumId w:val="20"/>
  </w:num>
  <w:num w:numId="2" w16cid:durableId="664672097">
    <w:abstractNumId w:val="10"/>
  </w:num>
  <w:num w:numId="3" w16cid:durableId="159349704">
    <w:abstractNumId w:val="5"/>
  </w:num>
  <w:num w:numId="4" w16cid:durableId="3559212">
    <w:abstractNumId w:val="12"/>
  </w:num>
  <w:num w:numId="5" w16cid:durableId="643123062">
    <w:abstractNumId w:val="13"/>
  </w:num>
  <w:num w:numId="6" w16cid:durableId="692918857">
    <w:abstractNumId w:val="15"/>
  </w:num>
  <w:num w:numId="7" w16cid:durableId="1276401673">
    <w:abstractNumId w:val="19"/>
  </w:num>
  <w:num w:numId="8" w16cid:durableId="144901574">
    <w:abstractNumId w:val="18"/>
  </w:num>
  <w:num w:numId="9" w16cid:durableId="1391533075">
    <w:abstractNumId w:val="7"/>
  </w:num>
  <w:num w:numId="10" w16cid:durableId="116802736">
    <w:abstractNumId w:val="11"/>
  </w:num>
  <w:num w:numId="11" w16cid:durableId="1973169571">
    <w:abstractNumId w:val="0"/>
  </w:num>
  <w:num w:numId="12" w16cid:durableId="1232957952">
    <w:abstractNumId w:val="6"/>
  </w:num>
  <w:num w:numId="13" w16cid:durableId="1003898510">
    <w:abstractNumId w:val="4"/>
  </w:num>
  <w:num w:numId="14" w16cid:durableId="510534059">
    <w:abstractNumId w:val="2"/>
  </w:num>
  <w:num w:numId="15" w16cid:durableId="1196120469">
    <w:abstractNumId w:val="9"/>
  </w:num>
  <w:num w:numId="16" w16cid:durableId="786393242">
    <w:abstractNumId w:val="3"/>
  </w:num>
  <w:num w:numId="17" w16cid:durableId="522986431">
    <w:abstractNumId w:val="1"/>
  </w:num>
  <w:num w:numId="18" w16cid:durableId="660281683">
    <w:abstractNumId w:val="17"/>
  </w:num>
  <w:num w:numId="19" w16cid:durableId="141655409">
    <w:abstractNumId w:val="8"/>
  </w:num>
  <w:num w:numId="20" w16cid:durableId="1198547153">
    <w:abstractNumId w:val="16"/>
  </w:num>
  <w:num w:numId="21" w16cid:durableId="12532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61"/>
    <w:rsid w:val="00094ED8"/>
    <w:rsid w:val="000E258F"/>
    <w:rsid w:val="00107E73"/>
    <w:rsid w:val="00134900"/>
    <w:rsid w:val="001842F0"/>
    <w:rsid w:val="001A4DB4"/>
    <w:rsid w:val="00285BA8"/>
    <w:rsid w:val="00292222"/>
    <w:rsid w:val="00304499"/>
    <w:rsid w:val="003167B5"/>
    <w:rsid w:val="00340336"/>
    <w:rsid w:val="0036158E"/>
    <w:rsid w:val="003C7301"/>
    <w:rsid w:val="003E1D9D"/>
    <w:rsid w:val="003F2AAC"/>
    <w:rsid w:val="00453FFD"/>
    <w:rsid w:val="00486369"/>
    <w:rsid w:val="005003F0"/>
    <w:rsid w:val="005A3DA0"/>
    <w:rsid w:val="0060785E"/>
    <w:rsid w:val="00621BEB"/>
    <w:rsid w:val="00632535"/>
    <w:rsid w:val="00645379"/>
    <w:rsid w:val="00662D5A"/>
    <w:rsid w:val="0067234A"/>
    <w:rsid w:val="00684F48"/>
    <w:rsid w:val="00692E14"/>
    <w:rsid w:val="006C1F64"/>
    <w:rsid w:val="006E51A5"/>
    <w:rsid w:val="00746E3D"/>
    <w:rsid w:val="00823DD3"/>
    <w:rsid w:val="00826361"/>
    <w:rsid w:val="008C769D"/>
    <w:rsid w:val="00956063"/>
    <w:rsid w:val="00970608"/>
    <w:rsid w:val="009C50F8"/>
    <w:rsid w:val="009C6A04"/>
    <w:rsid w:val="00A13BE8"/>
    <w:rsid w:val="00A73123"/>
    <w:rsid w:val="00A8648E"/>
    <w:rsid w:val="00AA240E"/>
    <w:rsid w:val="00AA3628"/>
    <w:rsid w:val="00B26276"/>
    <w:rsid w:val="00B27269"/>
    <w:rsid w:val="00B31B45"/>
    <w:rsid w:val="00B813B1"/>
    <w:rsid w:val="00C6516B"/>
    <w:rsid w:val="00C70EDF"/>
    <w:rsid w:val="00C96F97"/>
    <w:rsid w:val="00CF27DB"/>
    <w:rsid w:val="00D1247F"/>
    <w:rsid w:val="00DA698F"/>
    <w:rsid w:val="00E2297B"/>
    <w:rsid w:val="00E30E55"/>
    <w:rsid w:val="00E51616"/>
    <w:rsid w:val="00E853E4"/>
    <w:rsid w:val="00EA023C"/>
    <w:rsid w:val="00EB08EB"/>
    <w:rsid w:val="00F421AF"/>
    <w:rsid w:val="00F64B2A"/>
    <w:rsid w:val="00F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841E"/>
  <w15:chartTrackingRefBased/>
  <w15:docId w15:val="{BE197345-DEFA-4E3F-8F9B-2382F88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3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3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3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3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3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3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3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3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3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3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3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3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3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3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3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3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3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3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63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3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63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63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3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63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63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3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3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6361"/>
    <w:rPr>
      <w:b/>
      <w:bCs/>
      <w:smallCaps/>
      <w:color w:val="0F4761" w:themeColor="accent1" w:themeShade="BF"/>
      <w:spacing w:val="5"/>
    </w:rPr>
  </w:style>
  <w:style w:type="paragraph" w:customStyle="1" w:styleId="Text">
    <w:name w:val="Text"/>
    <w:basedOn w:val="Normal"/>
    <w:link w:val="TextChar"/>
    <w:uiPriority w:val="99"/>
    <w:rsid w:val="00A13BE8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Char">
    <w:name w:val="Text Char"/>
    <w:link w:val="Text"/>
    <w:uiPriority w:val="99"/>
    <w:locked/>
    <w:rsid w:val="00A13BE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ulletList">
    <w:name w:val="Bullet List"/>
    <w:basedOn w:val="Normal"/>
    <w:link w:val="BulletListChar"/>
    <w:uiPriority w:val="99"/>
    <w:rsid w:val="00A13BE8"/>
    <w:pPr>
      <w:spacing w:before="120"/>
      <w:ind w:left="907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lletListChar">
    <w:name w:val="Bullet List Char"/>
    <w:link w:val="BulletList"/>
    <w:uiPriority w:val="99"/>
    <w:locked/>
    <w:rsid w:val="00A13BE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Section">
    <w:name w:val="Section"/>
    <w:basedOn w:val="Normal"/>
    <w:uiPriority w:val="99"/>
    <w:rsid w:val="00A13BE8"/>
    <w:pPr>
      <w:spacing w:before="120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692E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Guillory, Eli</dc:creator>
  <cp:keywords/>
  <dc:description/>
  <cp:lastModifiedBy>George, Mertha</cp:lastModifiedBy>
  <cp:revision>22</cp:revision>
  <cp:lastPrinted>2024-03-18T18:22:00Z</cp:lastPrinted>
  <dcterms:created xsi:type="dcterms:W3CDTF">2024-03-11T19:02:00Z</dcterms:created>
  <dcterms:modified xsi:type="dcterms:W3CDTF">2024-03-20T17:22:00Z</dcterms:modified>
</cp:coreProperties>
</file>